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4CD" w:rsidRPr="00FF15CA" w:rsidRDefault="00FF15CA" w:rsidP="00FF15CA">
      <w:pPr>
        <w:pStyle w:val="Titre4"/>
        <w:ind w:left="-567"/>
        <w:rPr>
          <w:rFonts w:eastAsia="Calibri" w:cs="Arial"/>
          <w:bCs/>
          <w:caps w:val="0"/>
          <w:snapToGrid w:val="0"/>
          <w:color w:val="7F7F7F" w:themeColor="text1" w:themeTint="80"/>
          <w:kern w:val="28"/>
          <w:sz w:val="30"/>
          <w:szCs w:val="30"/>
          <w:lang w:eastAsia="zh-CN"/>
        </w:rPr>
      </w:pPr>
      <w:r>
        <w:rPr>
          <w:rFonts w:eastAsia="Calibri" w:cs="Arial"/>
          <w:bCs/>
          <w:caps w:val="0"/>
          <w:snapToGrid w:val="0"/>
          <w:color w:val="7F7F7F" w:themeColor="text1" w:themeTint="80"/>
          <w:kern w:val="28"/>
          <w:sz w:val="30"/>
          <w:szCs w:val="30"/>
          <w:lang w:eastAsia="zh-CN"/>
        </w:rPr>
        <w:t xml:space="preserve">    </w:t>
      </w:r>
      <w:r w:rsidR="004B04CD" w:rsidRPr="00D80BAB">
        <w:rPr>
          <w:rFonts w:eastAsia="Calibri" w:cs="Arial"/>
          <w:bCs/>
          <w:caps w:val="0"/>
          <w:snapToGrid w:val="0"/>
          <w:color w:val="808080" w:themeColor="background1" w:themeShade="80"/>
          <w:kern w:val="28"/>
          <w:sz w:val="30"/>
          <w:szCs w:val="30"/>
          <w:lang w:eastAsia="zh-CN"/>
        </w:rPr>
        <w:t>INVENTAIRE NATIONAL DU PATRIMOINE CULTUREL IMMATERIEL</w:t>
      </w:r>
    </w:p>
    <w:p w:rsidR="00807F9D" w:rsidRPr="00D80BAB" w:rsidRDefault="004B04CD" w:rsidP="00807F9D">
      <w:pPr>
        <w:pStyle w:val="Titre4"/>
        <w:rPr>
          <w:rFonts w:eastAsia="Calibri" w:cs="Arial"/>
          <w:bCs/>
          <w:caps w:val="0"/>
          <w:snapToGrid w:val="0"/>
          <w:color w:val="A6A6A6" w:themeColor="background1" w:themeShade="A6"/>
          <w:kern w:val="28"/>
          <w:sz w:val="32"/>
          <w:szCs w:val="32"/>
          <w:lang w:eastAsia="zh-CN"/>
        </w:rPr>
      </w:pPr>
      <w:r w:rsidRPr="00D80BAB">
        <w:rPr>
          <w:rFonts w:eastAsia="Calibri" w:cs="Arial"/>
          <w:bCs/>
          <w:caps w:val="0"/>
          <w:snapToGrid w:val="0"/>
          <w:color w:val="A6A6A6" w:themeColor="background1" w:themeShade="A6"/>
          <w:kern w:val="28"/>
          <w:sz w:val="32"/>
          <w:szCs w:val="32"/>
          <w:lang w:eastAsia="zh-CN"/>
        </w:rPr>
        <w:t>Fiche type d’inventaire du PCI</w:t>
      </w:r>
    </w:p>
    <w:p w:rsidR="00807F9D" w:rsidRDefault="00807F9D" w:rsidP="00807F9D">
      <w:pPr>
        <w:rPr>
          <w:lang w:val="fr-FR"/>
        </w:rPr>
      </w:pPr>
    </w:p>
    <w:tbl>
      <w:tblPr>
        <w:tblpPr w:leftFromText="141" w:rightFromText="141" w:vertAnchor="text" w:tblpX="5337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9"/>
      </w:tblGrid>
      <w:tr w:rsidR="00436DC3" w:rsidTr="00436DC3">
        <w:trPr>
          <w:trHeight w:val="1934"/>
        </w:trPr>
        <w:tc>
          <w:tcPr>
            <w:tcW w:w="4469" w:type="dxa"/>
          </w:tcPr>
          <w:p w:rsidR="00436DC3" w:rsidRDefault="00436DC3" w:rsidP="00436DC3">
            <w:pPr>
              <w:tabs>
                <w:tab w:val="left" w:pos="5190"/>
              </w:tabs>
              <w:rPr>
                <w:b/>
                <w:lang w:val="fr-FR"/>
              </w:rPr>
            </w:pPr>
            <w:r>
              <w:rPr>
                <w:b/>
                <w:noProof/>
                <w:snapToGrid/>
                <w:lang w:val="fr-FR" w:eastAsia="fr-FR"/>
              </w:rPr>
              <w:drawing>
                <wp:inline distT="0" distB="0" distL="0" distR="0">
                  <wp:extent cx="2724150" cy="1645920"/>
                  <wp:effectExtent l="19050" t="0" r="0" b="0"/>
                  <wp:docPr id="1" name="Image 1" descr="C:\Users\user\Desktop\9512339-152680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9512339-152680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9865" cy="1649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7F9D" w:rsidRDefault="00807F9D" w:rsidP="00F13DC9">
      <w:pPr>
        <w:tabs>
          <w:tab w:val="left" w:pos="5190"/>
        </w:tabs>
        <w:rPr>
          <w:b/>
          <w:lang w:val="fr-FR"/>
        </w:rPr>
      </w:pPr>
      <w:r w:rsidRPr="00F355F4">
        <w:rPr>
          <w:b/>
          <w:lang w:val="fr-FR"/>
        </w:rPr>
        <w:t xml:space="preserve">REGION : </w:t>
      </w:r>
      <w:r w:rsidR="007F6D46">
        <w:rPr>
          <w:b/>
          <w:lang w:val="fr-FR"/>
        </w:rPr>
        <w:t>SAINT</w:t>
      </w:r>
      <w:r>
        <w:rPr>
          <w:b/>
          <w:lang w:val="fr-FR"/>
        </w:rPr>
        <w:t>-</w:t>
      </w:r>
      <w:r w:rsidR="007F6D46">
        <w:rPr>
          <w:b/>
          <w:lang w:val="fr-FR"/>
        </w:rPr>
        <w:t>LOUIS</w:t>
      </w:r>
      <w:r w:rsidR="00FB547C">
        <w:rPr>
          <w:b/>
          <w:lang w:val="fr-FR"/>
        </w:rPr>
        <w:tab/>
      </w:r>
    </w:p>
    <w:p w:rsidR="00807F9D" w:rsidRPr="00F355F4" w:rsidRDefault="00807F9D" w:rsidP="00807F9D">
      <w:pPr>
        <w:rPr>
          <w:b/>
          <w:lang w:val="fr-FR"/>
        </w:rPr>
      </w:pPr>
      <w:r>
        <w:rPr>
          <w:b/>
          <w:lang w:val="fr-FR"/>
        </w:rPr>
        <w:t>DEPARTEMENT :</w:t>
      </w:r>
      <w:r w:rsidR="00660C89">
        <w:rPr>
          <w:b/>
          <w:lang w:val="fr-FR"/>
        </w:rPr>
        <w:t xml:space="preserve"> </w:t>
      </w:r>
      <w:r w:rsidR="007F6D46">
        <w:rPr>
          <w:b/>
          <w:lang w:val="fr-FR"/>
        </w:rPr>
        <w:t>SAINT</w:t>
      </w:r>
      <w:r w:rsidR="00660C89">
        <w:rPr>
          <w:b/>
          <w:lang w:val="fr-FR"/>
        </w:rPr>
        <w:t>-</w:t>
      </w:r>
      <w:r w:rsidR="007F6D46">
        <w:rPr>
          <w:b/>
          <w:lang w:val="fr-FR"/>
        </w:rPr>
        <w:t>LOUIS</w:t>
      </w:r>
    </w:p>
    <w:p w:rsidR="00536127" w:rsidRPr="00F13DC9" w:rsidRDefault="00702AAB" w:rsidP="00536127">
      <w:pPr>
        <w:rPr>
          <w:b/>
          <w:sz w:val="24"/>
          <w:lang w:val="fr-FR"/>
        </w:rPr>
      </w:pPr>
      <w:r w:rsidRPr="002C3C3E">
        <w:rPr>
          <w:b/>
          <w:lang w:val="fr-FR"/>
        </w:rPr>
        <w:t>NUMERO DE LA FICHE</w:t>
      </w:r>
      <w:r w:rsidR="00D80BAB">
        <w:rPr>
          <w:b/>
          <w:lang w:val="fr-FR"/>
        </w:rPr>
        <w:t xml:space="preserve"> </w:t>
      </w:r>
      <w:bookmarkStart w:id="0" w:name="_GoBack"/>
      <w:bookmarkEnd w:id="0"/>
      <w:r w:rsidRPr="002C3C3E">
        <w:rPr>
          <w:lang w:val="fr-FR"/>
        </w:rPr>
        <w:t>:</w:t>
      </w:r>
      <w:r w:rsidR="002F093A" w:rsidRPr="002C3C3E">
        <w:rPr>
          <w:lang w:val="fr-FR"/>
        </w:rPr>
        <w:t xml:space="preserve"> </w:t>
      </w:r>
      <w:r w:rsidR="00536127">
        <w:rPr>
          <w:b/>
          <w:szCs w:val="20"/>
          <w:lang w:val="fr-FR"/>
        </w:rPr>
        <w:t>SNSL10STL1</w:t>
      </w:r>
      <w:r w:rsidR="000D515B">
        <w:rPr>
          <w:b/>
          <w:szCs w:val="20"/>
          <w:lang w:val="fr-FR"/>
        </w:rPr>
        <w:t>-1</w:t>
      </w:r>
      <w:r w:rsidR="00536127" w:rsidRPr="00F13DC9">
        <w:rPr>
          <w:b/>
          <w:szCs w:val="20"/>
          <w:lang w:val="fr-FR"/>
        </w:rPr>
        <w:t>PCI</w:t>
      </w:r>
    </w:p>
    <w:p w:rsidR="00807F9D" w:rsidRDefault="00807F9D" w:rsidP="00807F9D">
      <w:pPr>
        <w:pStyle w:val="Titre4"/>
      </w:pPr>
    </w:p>
    <w:tbl>
      <w:tblPr>
        <w:tblStyle w:val="Grilledutableau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0065"/>
      </w:tblGrid>
      <w:tr w:rsidR="00807F9D" w:rsidRPr="00D80BAB" w:rsidTr="00190F4C">
        <w:tc>
          <w:tcPr>
            <w:tcW w:w="709" w:type="dxa"/>
            <w:shd w:val="clear" w:color="auto" w:fill="D0CECE" w:themeFill="background2" w:themeFillShade="E6"/>
          </w:tcPr>
          <w:p w:rsidR="00807F9D" w:rsidRPr="00C92ED6" w:rsidRDefault="00807F9D" w:rsidP="004D5CA8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1.</w:t>
            </w:r>
          </w:p>
        </w:tc>
        <w:tc>
          <w:tcPr>
            <w:tcW w:w="10065" w:type="dxa"/>
            <w:shd w:val="clear" w:color="auto" w:fill="D0CECE" w:themeFill="background2" w:themeFillShade="E6"/>
          </w:tcPr>
          <w:p w:rsidR="00807F9D" w:rsidRPr="007254B2" w:rsidRDefault="00807F9D" w:rsidP="004D5CA8">
            <w:pPr>
              <w:pStyle w:val="Tabtxt"/>
              <w:keepNext w:val="0"/>
              <w:spacing w:before="80" w:after="80"/>
              <w:ind w:left="113"/>
              <w:jc w:val="left"/>
              <w:rPr>
                <w:rFonts w:ascii="Arial Bold" w:hAnsi="Arial Bold"/>
                <w:b/>
                <w:caps/>
              </w:rPr>
            </w:pPr>
            <w:r w:rsidRPr="00A06BCB">
              <w:rPr>
                <w:rFonts w:ascii="Arial Bold" w:hAnsi="Arial Bold"/>
                <w:b/>
                <w:caps/>
                <w:snapToGrid w:val="0"/>
              </w:rPr>
              <w:t>Identification de l’élément du PCI</w:t>
            </w:r>
          </w:p>
        </w:tc>
      </w:tr>
      <w:tr w:rsidR="00807F9D" w:rsidRPr="00D80BAB" w:rsidTr="00190F4C">
        <w:tc>
          <w:tcPr>
            <w:tcW w:w="709" w:type="dxa"/>
          </w:tcPr>
          <w:p w:rsidR="00807F9D" w:rsidRPr="00137A78" w:rsidRDefault="00807F9D" w:rsidP="004D5CA8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</w:rPr>
            </w:pPr>
            <w:r w:rsidRPr="00137A78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10065" w:type="dxa"/>
          </w:tcPr>
          <w:p w:rsidR="000757D6" w:rsidRPr="00634B95" w:rsidRDefault="00807F9D" w:rsidP="00660C89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E74C0">
              <w:rPr>
                <w:rFonts w:ascii="Arial" w:hAnsi="Arial" w:cs="Arial"/>
                <w:sz w:val="20"/>
                <w:szCs w:val="20"/>
                <w:lang w:val="fr-FR"/>
              </w:rPr>
              <w:t>Nom de l’élément du PCI tel qu’il est employé par la communauté concernée</w:t>
            </w:r>
          </w:p>
          <w:p w:rsidR="00411D8C" w:rsidRDefault="00660C89" w:rsidP="00660C89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8E4D7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Ceebu </w:t>
            </w:r>
            <w:r w:rsidR="008E4D76">
              <w:rPr>
                <w:rFonts w:ascii="Arial" w:hAnsi="Arial" w:cs="Arial"/>
                <w:b/>
                <w:sz w:val="20"/>
                <w:szCs w:val="20"/>
                <w:lang w:val="fr-FR"/>
              </w:rPr>
              <w:t>jë</w:t>
            </w:r>
            <w:r w:rsidR="008E4D76" w:rsidRPr="008E4D76">
              <w:rPr>
                <w:rFonts w:ascii="Arial" w:hAnsi="Arial" w:cs="Arial"/>
                <w:b/>
                <w:sz w:val="20"/>
                <w:szCs w:val="20"/>
                <w:lang w:val="fr-FR"/>
              </w:rPr>
              <w:t>n</w:t>
            </w:r>
            <w:r w:rsidR="003E41FE" w:rsidRPr="008E4D7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</w:p>
          <w:p w:rsidR="00436DC3" w:rsidRPr="008E4D76" w:rsidRDefault="00411D8C" w:rsidP="00660C89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Le </w:t>
            </w:r>
            <w:r w:rsidR="002C3C3E">
              <w:rPr>
                <w:rFonts w:ascii="Arial" w:hAnsi="Arial" w:cs="Arial"/>
                <w:b/>
                <w:sz w:val="20"/>
                <w:szCs w:val="20"/>
                <w:lang w:val="fr-FR"/>
              </w:rPr>
              <w:t>C</w:t>
            </w:r>
            <w:r w:rsidR="008E4D76">
              <w:rPr>
                <w:rFonts w:ascii="Arial" w:hAnsi="Arial" w:cs="Arial"/>
                <w:b/>
                <w:sz w:val="20"/>
                <w:szCs w:val="20"/>
                <w:lang w:val="fr-FR"/>
              </w:rPr>
              <w:t>eebu jë</w:t>
            </w:r>
            <w:r w:rsidR="00723C50" w:rsidRPr="008E4D7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n </w:t>
            </w:r>
            <w:r w:rsidR="002C3C3E">
              <w:rPr>
                <w:rFonts w:ascii="Arial" w:hAnsi="Arial" w:cs="Arial"/>
                <w:b/>
                <w:sz w:val="20"/>
                <w:szCs w:val="20"/>
                <w:lang w:val="fr-FR"/>
              </w:rPr>
              <w:t>Penda M</w:t>
            </w:r>
            <w:r w:rsidR="009E74C0" w:rsidRPr="008E4D76">
              <w:rPr>
                <w:rFonts w:ascii="Arial" w:hAnsi="Arial" w:cs="Arial"/>
                <w:b/>
                <w:sz w:val="20"/>
                <w:szCs w:val="20"/>
                <w:lang w:val="fr-FR"/>
              </w:rPr>
              <w:t>baye</w:t>
            </w:r>
            <w:r w:rsidR="003E41FE" w:rsidRPr="008E4D7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renvoie et rens</w:t>
            </w:r>
            <w:r w:rsidR="00723C50" w:rsidRPr="008E4D7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eigne à la fois sur </w:t>
            </w:r>
            <w:r w:rsidR="002C3C3E">
              <w:rPr>
                <w:rFonts w:ascii="Arial" w:hAnsi="Arial" w:cs="Arial"/>
                <w:b/>
                <w:sz w:val="20"/>
                <w:szCs w:val="20"/>
                <w:lang w:val="fr-FR"/>
              </w:rPr>
              <w:t>les origines</w:t>
            </w:r>
            <w:r w:rsidR="002F093A" w:rsidRPr="008E4D7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du ceebu jën  de Saint-Louis</w:t>
            </w:r>
          </w:p>
          <w:p w:rsidR="00660C89" w:rsidRPr="003E41FE" w:rsidRDefault="00660C89" w:rsidP="00660C89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/>
              </w:rPr>
            </w:pPr>
          </w:p>
        </w:tc>
      </w:tr>
      <w:tr w:rsidR="00807F9D" w:rsidRPr="00D80BAB" w:rsidTr="00190F4C">
        <w:tc>
          <w:tcPr>
            <w:tcW w:w="709" w:type="dxa"/>
          </w:tcPr>
          <w:p w:rsidR="00807F9D" w:rsidRPr="00137A78" w:rsidRDefault="00807F9D" w:rsidP="004D5CA8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</w:rPr>
            </w:pPr>
            <w:r w:rsidRPr="00137A78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10065" w:type="dxa"/>
          </w:tcPr>
          <w:p w:rsidR="00807F9D" w:rsidRPr="000757D6" w:rsidRDefault="00807F9D" w:rsidP="004D5CA8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757D6">
              <w:rPr>
                <w:rFonts w:ascii="Arial" w:hAnsi="Arial" w:cs="Arial"/>
                <w:sz w:val="20"/>
                <w:szCs w:val="20"/>
                <w:lang w:val="fr-FR"/>
              </w:rPr>
              <w:t>Titre de l’élément du PCI ‒ avec indication du (des) domaine(s) du PCI concerné(s)</w:t>
            </w:r>
          </w:p>
          <w:p w:rsidR="000757D6" w:rsidRDefault="000757D6" w:rsidP="00F85CD0">
            <w:pPr>
              <w:pStyle w:val="Sansinterligne"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/>
              </w:rPr>
            </w:pPr>
          </w:p>
          <w:p w:rsidR="00807F9D" w:rsidRDefault="00807F9D" w:rsidP="00F85CD0">
            <w:pPr>
              <w:pStyle w:val="Sansinterligne"/>
              <w:rPr>
                <w:rFonts w:ascii="Arial" w:hAnsi="Arial" w:cs="Arial"/>
                <w:b/>
                <w:bCs/>
                <w:color w:val="FF0000"/>
                <w:kern w:val="28"/>
                <w:sz w:val="20"/>
                <w:szCs w:val="20"/>
                <w:lang w:val="fr-FR"/>
              </w:rPr>
            </w:pPr>
            <w:r w:rsidRPr="009E74C0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/>
              </w:rPr>
              <w:t>Savoir</w:t>
            </w:r>
            <w:r w:rsidR="002C3C3E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/>
              </w:rPr>
              <w:t>-</w:t>
            </w:r>
            <w:r w:rsidRPr="009E74C0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/>
              </w:rPr>
              <w:t xml:space="preserve">faire </w:t>
            </w:r>
            <w:r w:rsidR="002F093A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/>
              </w:rPr>
              <w:t xml:space="preserve">lié à </w:t>
            </w:r>
            <w:r w:rsidR="002F093A" w:rsidRPr="008E4D76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/>
              </w:rPr>
              <w:t>l’art culinaire</w:t>
            </w:r>
          </w:p>
          <w:p w:rsidR="00F85CD0" w:rsidRPr="009E74C0" w:rsidRDefault="00F85CD0" w:rsidP="00F85CD0">
            <w:pPr>
              <w:pStyle w:val="Sansinterligne"/>
              <w:rPr>
                <w:rFonts w:ascii="Arial" w:hAnsi="Arial" w:cs="Arial"/>
                <w:bCs/>
                <w:kern w:val="28"/>
                <w:sz w:val="20"/>
                <w:szCs w:val="20"/>
                <w:lang w:val="fr-FR"/>
              </w:rPr>
            </w:pPr>
          </w:p>
        </w:tc>
      </w:tr>
      <w:tr w:rsidR="00807F9D" w:rsidRPr="00D80BAB" w:rsidTr="00190F4C">
        <w:tc>
          <w:tcPr>
            <w:tcW w:w="709" w:type="dxa"/>
          </w:tcPr>
          <w:p w:rsidR="00807F9D" w:rsidRPr="00137A78" w:rsidRDefault="00807F9D" w:rsidP="004D5CA8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</w:rPr>
            </w:pPr>
            <w:r w:rsidRPr="00137A78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10065" w:type="dxa"/>
          </w:tcPr>
          <w:p w:rsidR="00807F9D" w:rsidRPr="009E74C0" w:rsidRDefault="00807F9D" w:rsidP="004D5CA8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E74C0">
              <w:rPr>
                <w:rFonts w:ascii="Arial" w:hAnsi="Arial" w:cs="Arial"/>
                <w:sz w:val="20"/>
                <w:szCs w:val="20"/>
                <w:lang w:val="fr-FR"/>
              </w:rPr>
              <w:t>Communauté(s) concernée(s)</w:t>
            </w:r>
          </w:p>
          <w:p w:rsidR="00660C89" w:rsidRDefault="002C3C3E" w:rsidP="001F783A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Communautés </w:t>
            </w:r>
            <w:r w:rsidRPr="009E74C0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Wolof 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des villages pêcheurs de Gokhumbath, Guet Ndar et Ndar toute de la Langue de Barbarie à Saint-Louis</w:t>
            </w:r>
          </w:p>
          <w:p w:rsidR="000757D6" w:rsidRPr="009E74C0" w:rsidRDefault="000757D6" w:rsidP="001F783A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/>
              </w:rPr>
            </w:pPr>
          </w:p>
        </w:tc>
      </w:tr>
      <w:tr w:rsidR="00807F9D" w:rsidRPr="00D80BAB" w:rsidTr="00190F4C">
        <w:tc>
          <w:tcPr>
            <w:tcW w:w="709" w:type="dxa"/>
          </w:tcPr>
          <w:p w:rsidR="00807F9D" w:rsidRPr="000757D6" w:rsidRDefault="00807F9D" w:rsidP="00B439AC">
            <w:pPr>
              <w:pStyle w:val="Sansinterligne"/>
              <w:rPr>
                <w:b/>
                <w:bCs/>
                <w:caps/>
                <w:kern w:val="28"/>
              </w:rPr>
            </w:pPr>
            <w:r w:rsidRPr="000757D6">
              <w:t>1.4.</w:t>
            </w:r>
          </w:p>
        </w:tc>
        <w:tc>
          <w:tcPr>
            <w:tcW w:w="10065" w:type="dxa"/>
          </w:tcPr>
          <w:p w:rsidR="00807F9D" w:rsidRPr="000757D6" w:rsidRDefault="00807F9D" w:rsidP="004D5CA8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757D6">
              <w:rPr>
                <w:rFonts w:ascii="Arial" w:hAnsi="Arial" w:cs="Arial"/>
                <w:sz w:val="20"/>
                <w:szCs w:val="20"/>
                <w:lang w:val="fr-FR"/>
              </w:rPr>
              <w:t>Emplacement(s) physique(s)/répartition et fréquence de la pratique de l’élément du PCI</w:t>
            </w:r>
          </w:p>
          <w:p w:rsidR="00411D8C" w:rsidRPr="000757D6" w:rsidRDefault="00411D8C" w:rsidP="001F783A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411D8C" w:rsidRPr="000757D6" w:rsidRDefault="00660C89" w:rsidP="001F783A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757D6">
              <w:rPr>
                <w:rFonts w:ascii="Arial" w:hAnsi="Arial" w:cs="Arial"/>
                <w:b/>
                <w:sz w:val="20"/>
                <w:szCs w:val="20"/>
                <w:lang w:val="fr-FR"/>
              </w:rPr>
              <w:t>Saint-Louis</w:t>
            </w:r>
          </w:p>
          <w:p w:rsidR="001F783A" w:rsidRPr="000757D6" w:rsidRDefault="00411D8C" w:rsidP="001F783A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757D6">
              <w:rPr>
                <w:rFonts w:ascii="Arial" w:hAnsi="Arial" w:cs="Arial"/>
                <w:b/>
                <w:sz w:val="20"/>
                <w:szCs w:val="20"/>
                <w:lang w:val="fr-FR"/>
              </w:rPr>
              <w:t>L</w:t>
            </w:r>
            <w:r w:rsidR="002C3C3E">
              <w:rPr>
                <w:rFonts w:ascii="Arial" w:hAnsi="Arial" w:cs="Arial"/>
                <w:b/>
                <w:sz w:val="20"/>
                <w:szCs w:val="20"/>
                <w:lang w:val="fr-FR"/>
              </w:rPr>
              <w:t>e C</w:t>
            </w:r>
            <w:r w:rsidR="001F783A" w:rsidRPr="000757D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eebu </w:t>
            </w:r>
            <w:r w:rsidR="008E4D76" w:rsidRPr="000757D6">
              <w:rPr>
                <w:rFonts w:ascii="Arial" w:hAnsi="Arial" w:cs="Arial"/>
                <w:b/>
                <w:sz w:val="20"/>
                <w:szCs w:val="20"/>
                <w:lang w:val="fr-FR"/>
              </w:rPr>
              <w:t>jën</w:t>
            </w:r>
            <w:r w:rsidR="001F783A" w:rsidRPr="000757D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est  </w:t>
            </w:r>
            <w:r w:rsidR="002C3C3E">
              <w:rPr>
                <w:rFonts w:ascii="Arial" w:hAnsi="Arial" w:cs="Arial"/>
                <w:b/>
                <w:sz w:val="20"/>
                <w:szCs w:val="20"/>
                <w:lang w:val="fr-FR"/>
              </w:rPr>
              <w:t>certes originaire des villages de pécheurs de Saint-Louis mais il a fini par gagner la grande majorité des familles du pays et s’adapter aux réalités des différents terroirs.</w:t>
            </w:r>
            <w:r w:rsidR="001F783A" w:rsidRPr="000757D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et c’est   sans doute </w:t>
            </w:r>
            <w:r w:rsidR="00AE48F0" w:rsidRPr="000757D6">
              <w:rPr>
                <w:rFonts w:ascii="Arial" w:hAnsi="Arial" w:cs="Arial"/>
                <w:b/>
                <w:sz w:val="20"/>
                <w:szCs w:val="20"/>
                <w:lang w:val="fr-FR"/>
              </w:rPr>
              <w:t>ce qui</w:t>
            </w:r>
            <w:r w:rsidR="001F783A" w:rsidRPr="000757D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explique pourquoi </w:t>
            </w:r>
            <w:r w:rsidR="00FB547C" w:rsidRPr="000757D6">
              <w:rPr>
                <w:rFonts w:ascii="Arial" w:hAnsi="Arial" w:cs="Arial"/>
                <w:b/>
                <w:sz w:val="20"/>
                <w:szCs w:val="20"/>
                <w:lang w:val="fr-FR"/>
              </w:rPr>
              <w:t>il</w:t>
            </w:r>
            <w:r w:rsidR="001F783A" w:rsidRPr="000757D6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fr-FR"/>
              </w:rPr>
              <w:t xml:space="preserve"> est considéré </w:t>
            </w:r>
            <w:r w:rsidR="002C3C3E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fr-FR"/>
              </w:rPr>
              <w:t xml:space="preserve">comme le </w:t>
            </w:r>
            <w:r w:rsidR="001F783A" w:rsidRPr="000757D6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fr-FR"/>
              </w:rPr>
              <w:t>plat national sénégalais.</w:t>
            </w:r>
          </w:p>
          <w:p w:rsidR="00807F9D" w:rsidRPr="000757D6" w:rsidRDefault="00807F9D" w:rsidP="004D5CA8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/>
              </w:rPr>
            </w:pPr>
          </w:p>
        </w:tc>
      </w:tr>
      <w:tr w:rsidR="00807F9D" w:rsidRPr="00D80BAB" w:rsidTr="00190F4C">
        <w:tc>
          <w:tcPr>
            <w:tcW w:w="709" w:type="dxa"/>
          </w:tcPr>
          <w:p w:rsidR="00807F9D" w:rsidRPr="000757D6" w:rsidRDefault="00807F9D" w:rsidP="004D5CA8">
            <w:pPr>
              <w:rPr>
                <w:sz w:val="20"/>
                <w:szCs w:val="20"/>
              </w:rPr>
            </w:pPr>
            <w:r w:rsidRPr="000757D6">
              <w:rPr>
                <w:sz w:val="20"/>
                <w:szCs w:val="20"/>
              </w:rPr>
              <w:t>1.5.</w:t>
            </w:r>
          </w:p>
        </w:tc>
        <w:tc>
          <w:tcPr>
            <w:tcW w:w="10065" w:type="dxa"/>
          </w:tcPr>
          <w:p w:rsidR="00FB547C" w:rsidRPr="000757D6" w:rsidRDefault="00807F9D" w:rsidP="00FB547C">
            <w:pPr>
              <w:rPr>
                <w:snapToGrid/>
                <w:sz w:val="20"/>
                <w:szCs w:val="20"/>
                <w:lang w:val="fr-FR"/>
              </w:rPr>
            </w:pPr>
            <w:r w:rsidRPr="000757D6">
              <w:rPr>
                <w:snapToGrid/>
                <w:sz w:val="20"/>
                <w:szCs w:val="20"/>
                <w:lang w:val="fr-FR"/>
              </w:rPr>
              <w:t>Brève description de l’élément du PCI (de préférence pas plus de 200 mots)</w:t>
            </w:r>
            <w:r w:rsidR="001F1084" w:rsidRPr="000757D6">
              <w:rPr>
                <w:sz w:val="21"/>
                <w:szCs w:val="21"/>
                <w:lang w:val="fr-FR"/>
              </w:rPr>
              <w:t>.</w:t>
            </w:r>
          </w:p>
          <w:p w:rsidR="00FB547C" w:rsidRPr="000757D6" w:rsidRDefault="00FF6087" w:rsidP="00FB547C">
            <w:pPr>
              <w:pStyle w:val="NormalWeb"/>
              <w:shd w:val="clear" w:color="auto" w:fill="FFFFFF"/>
              <w:spacing w:before="0" w:beforeAutospacing="0" w:after="255" w:afterAutospacing="0"/>
              <w:rPr>
                <w:rFonts w:ascii="Arial" w:hAnsi="Arial" w:cs="Arial"/>
                <w:b/>
                <w:sz w:val="21"/>
                <w:szCs w:val="21"/>
              </w:rPr>
            </w:pPr>
            <w:r w:rsidRPr="000757D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757D6">
              <w:rPr>
                <w:rFonts w:ascii="Arial" w:hAnsi="Arial" w:cs="Arial"/>
                <w:b/>
                <w:sz w:val="21"/>
                <w:szCs w:val="21"/>
              </w:rPr>
              <w:t xml:space="preserve">En wolof </w:t>
            </w:r>
            <w:r w:rsidR="00F9321E" w:rsidRPr="000757D6">
              <w:rPr>
                <w:rFonts w:ascii="Arial" w:hAnsi="Arial" w:cs="Arial"/>
                <w:b/>
                <w:sz w:val="21"/>
                <w:szCs w:val="21"/>
              </w:rPr>
              <w:t xml:space="preserve">l’expression </w:t>
            </w:r>
            <w:r w:rsidR="002C3C3E">
              <w:rPr>
                <w:rFonts w:ascii="Arial" w:hAnsi="Arial" w:cs="Arial"/>
                <w:b/>
                <w:sz w:val="21"/>
                <w:szCs w:val="21"/>
              </w:rPr>
              <w:t>(C</w:t>
            </w:r>
            <w:r w:rsidR="001F1084" w:rsidRPr="000757D6">
              <w:rPr>
                <w:rFonts w:ascii="Arial" w:hAnsi="Arial" w:cs="Arial"/>
                <w:b/>
                <w:sz w:val="21"/>
                <w:szCs w:val="21"/>
              </w:rPr>
              <w:t>eebu jën signifie littéralement « riz au poisson ».</w:t>
            </w:r>
            <w:r w:rsidR="00FB547C" w:rsidRPr="000757D6">
              <w:rPr>
                <w:rFonts w:ascii="Arial" w:hAnsi="Arial" w:cs="Arial"/>
                <w:b/>
                <w:sz w:val="21"/>
                <w:szCs w:val="21"/>
              </w:rPr>
              <w:t xml:space="preserve"> Les Sénégalais appellent d’aill</w:t>
            </w:r>
            <w:r w:rsidR="00477016" w:rsidRPr="000757D6">
              <w:rPr>
                <w:rFonts w:ascii="Arial" w:hAnsi="Arial" w:cs="Arial"/>
                <w:b/>
                <w:sz w:val="21"/>
                <w:szCs w:val="21"/>
              </w:rPr>
              <w:t>eurs affectueusement ce plat «</w:t>
            </w:r>
            <w:r w:rsidR="008E4D76" w:rsidRPr="000757D6">
              <w:rPr>
                <w:rFonts w:ascii="Arial" w:hAnsi="Arial" w:cs="Arial"/>
                <w:b/>
                <w:sz w:val="21"/>
                <w:szCs w:val="21"/>
              </w:rPr>
              <w:t>c</w:t>
            </w:r>
            <w:r w:rsidR="00477016" w:rsidRPr="000757D6">
              <w:rPr>
                <w:rFonts w:ascii="Arial" w:hAnsi="Arial" w:cs="Arial"/>
                <w:b/>
                <w:sz w:val="21"/>
                <w:szCs w:val="21"/>
              </w:rPr>
              <w:t>eebu jën</w:t>
            </w:r>
            <w:r w:rsidR="00FB547C" w:rsidRPr="000757D6">
              <w:rPr>
                <w:rFonts w:ascii="Arial" w:hAnsi="Arial" w:cs="Arial"/>
                <w:b/>
                <w:sz w:val="21"/>
                <w:szCs w:val="21"/>
              </w:rPr>
              <w:t xml:space="preserve"> Penda Mbaye » (le riz au poisson de Penda Mbaye).</w:t>
            </w:r>
          </w:p>
          <w:p w:rsidR="001F1084" w:rsidRPr="000757D6" w:rsidRDefault="00F9321E" w:rsidP="00147AC4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0757D6">
              <w:rPr>
                <w:rFonts w:ascii="Arial" w:hAnsi="Arial" w:cs="Arial"/>
                <w:b/>
                <w:sz w:val="21"/>
                <w:szCs w:val="21"/>
              </w:rPr>
              <w:t xml:space="preserve"> Penda Mbaye, personnage du XIXe siècle était </w:t>
            </w:r>
            <w:r w:rsidR="003602D6" w:rsidRPr="000757D6">
              <w:rPr>
                <w:rFonts w:ascii="Arial" w:hAnsi="Arial" w:cs="Arial"/>
                <w:b/>
                <w:sz w:val="21"/>
                <w:szCs w:val="21"/>
              </w:rPr>
              <w:t>originaire du quartier des pêcheurs de Guet Ndar et</w:t>
            </w:r>
            <w:r w:rsidR="001F1084" w:rsidRPr="000757D6">
              <w:rPr>
                <w:rFonts w:ascii="Arial" w:hAnsi="Arial" w:cs="Arial"/>
                <w:b/>
                <w:sz w:val="21"/>
                <w:szCs w:val="21"/>
              </w:rPr>
              <w:t xml:space="preserve"> gagnait sa vie en faisant la cuisine</w:t>
            </w:r>
            <w:r w:rsidR="00AE48F0" w:rsidRPr="000757D6">
              <w:rPr>
                <w:rFonts w:ascii="Arial" w:hAnsi="Arial" w:cs="Arial"/>
                <w:b/>
                <w:sz w:val="21"/>
                <w:szCs w:val="21"/>
              </w:rPr>
              <w:t xml:space="preserve"> au marché</w:t>
            </w:r>
            <w:r w:rsidR="003602D6" w:rsidRPr="000757D6">
              <w:rPr>
                <w:rFonts w:ascii="Arial" w:hAnsi="Arial" w:cs="Arial"/>
                <w:b/>
                <w:sz w:val="21"/>
                <w:szCs w:val="21"/>
              </w:rPr>
              <w:t>.</w:t>
            </w:r>
            <w:r w:rsidR="001F1084" w:rsidRPr="000757D6">
              <w:rPr>
                <w:rFonts w:ascii="Arial" w:hAnsi="Arial" w:cs="Arial"/>
                <w:b/>
                <w:sz w:val="21"/>
                <w:szCs w:val="21"/>
              </w:rPr>
              <w:t xml:space="preserve"> Un jour, </w:t>
            </w:r>
            <w:r w:rsidRPr="000757D6">
              <w:rPr>
                <w:rFonts w:ascii="Arial" w:hAnsi="Arial" w:cs="Arial"/>
                <w:b/>
                <w:sz w:val="21"/>
                <w:szCs w:val="21"/>
              </w:rPr>
              <w:t>elle a eu l’idée  géniale</w:t>
            </w:r>
            <w:r w:rsidR="001F1084" w:rsidRPr="000757D6">
              <w:rPr>
                <w:rFonts w:ascii="Arial" w:hAnsi="Arial" w:cs="Arial"/>
                <w:b/>
                <w:sz w:val="21"/>
                <w:szCs w:val="21"/>
              </w:rPr>
              <w:t xml:space="preserve"> de malaxer de la tomate cerise pour l’utiliser dans sa cuisine». L’histoire commence à cet instant puisque le résultat enc</w:t>
            </w:r>
            <w:r w:rsidR="002F093A" w:rsidRPr="000757D6">
              <w:rPr>
                <w:rFonts w:ascii="Arial" w:hAnsi="Arial" w:cs="Arial"/>
                <w:b/>
                <w:sz w:val="21"/>
                <w:szCs w:val="21"/>
              </w:rPr>
              <w:t>hante les papilles gustatives</w:t>
            </w:r>
            <w:r w:rsidRPr="000757D6">
              <w:rPr>
                <w:rFonts w:ascii="Arial" w:hAnsi="Arial" w:cs="Arial"/>
                <w:b/>
                <w:sz w:val="21"/>
                <w:szCs w:val="21"/>
              </w:rPr>
              <w:t xml:space="preserve"> saint-louisien</w:t>
            </w:r>
            <w:r w:rsidR="002F093A" w:rsidRPr="000757D6">
              <w:rPr>
                <w:rFonts w:ascii="Arial" w:hAnsi="Arial" w:cs="Arial"/>
                <w:b/>
                <w:sz w:val="21"/>
                <w:szCs w:val="21"/>
              </w:rPr>
              <w:t>nes</w:t>
            </w:r>
            <w:r w:rsidRPr="000757D6">
              <w:rPr>
                <w:rFonts w:ascii="Arial" w:hAnsi="Arial" w:cs="Arial"/>
                <w:b/>
                <w:sz w:val="21"/>
                <w:szCs w:val="21"/>
              </w:rPr>
              <w:t>,</w:t>
            </w:r>
            <w:r w:rsidR="002F093A" w:rsidRPr="000757D6">
              <w:rPr>
                <w:rFonts w:ascii="Arial" w:hAnsi="Arial" w:cs="Arial"/>
                <w:b/>
                <w:sz w:val="21"/>
                <w:szCs w:val="21"/>
              </w:rPr>
              <w:t xml:space="preserve"> ainsi, </w:t>
            </w:r>
            <w:r w:rsidR="001F1084" w:rsidRPr="000757D6">
              <w:rPr>
                <w:rFonts w:ascii="Arial" w:hAnsi="Arial" w:cs="Arial"/>
                <w:b/>
                <w:sz w:val="21"/>
                <w:szCs w:val="21"/>
              </w:rPr>
              <w:t>le bouche à oreille aidant, la</w:t>
            </w:r>
            <w:r w:rsidR="003602D6" w:rsidRPr="000757D6">
              <w:rPr>
                <w:rFonts w:ascii="Arial" w:hAnsi="Arial" w:cs="Arial"/>
                <w:b/>
                <w:sz w:val="21"/>
                <w:szCs w:val="21"/>
              </w:rPr>
              <w:t xml:space="preserve"> dame Pend</w:t>
            </w:r>
            <w:r w:rsidRPr="000757D6">
              <w:rPr>
                <w:rFonts w:ascii="Arial" w:hAnsi="Arial" w:cs="Arial"/>
                <w:b/>
                <w:sz w:val="21"/>
                <w:szCs w:val="21"/>
              </w:rPr>
              <w:t>a Mbaye commença alors à</w:t>
            </w:r>
            <w:r w:rsidR="00477016" w:rsidRPr="000757D6">
              <w:rPr>
                <w:rFonts w:ascii="Arial" w:hAnsi="Arial" w:cs="Arial"/>
                <w:b/>
                <w:sz w:val="21"/>
                <w:szCs w:val="21"/>
              </w:rPr>
              <w:t xml:space="preserve"> être sollicitée pour les festins lors des </w:t>
            </w:r>
            <w:r w:rsidR="003602D6" w:rsidRPr="000757D6">
              <w:rPr>
                <w:rFonts w:ascii="Arial" w:hAnsi="Arial" w:cs="Arial"/>
                <w:b/>
                <w:sz w:val="21"/>
                <w:szCs w:val="21"/>
              </w:rPr>
              <w:t>cérémonies familiales</w:t>
            </w:r>
            <w:r w:rsidRPr="000757D6">
              <w:rPr>
                <w:rFonts w:ascii="Arial" w:hAnsi="Arial" w:cs="Arial"/>
                <w:b/>
                <w:sz w:val="21"/>
                <w:szCs w:val="21"/>
              </w:rPr>
              <w:t xml:space="preserve">. Sa notoriété </w:t>
            </w:r>
            <w:r w:rsidR="003602D6" w:rsidRPr="000757D6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0757D6">
              <w:rPr>
                <w:rFonts w:ascii="Arial" w:hAnsi="Arial" w:cs="Arial"/>
                <w:b/>
                <w:sz w:val="21"/>
                <w:szCs w:val="21"/>
              </w:rPr>
              <w:t>grandissante finira par conquérir toutes les</w:t>
            </w:r>
            <w:r w:rsidR="003D4618" w:rsidRPr="000757D6">
              <w:rPr>
                <w:rFonts w:ascii="Arial" w:hAnsi="Arial" w:cs="Arial"/>
                <w:b/>
                <w:sz w:val="21"/>
                <w:szCs w:val="21"/>
              </w:rPr>
              <w:t xml:space="preserve"> communautés.</w:t>
            </w:r>
          </w:p>
          <w:p w:rsidR="001F1084" w:rsidRPr="000757D6" w:rsidRDefault="001F1084" w:rsidP="00147AC4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  <w:rPr>
                <w:b/>
                <w:sz w:val="20"/>
                <w:szCs w:val="20"/>
              </w:rPr>
            </w:pPr>
            <w:r w:rsidRPr="000757D6">
              <w:rPr>
                <w:rFonts w:ascii="Arial" w:hAnsi="Arial" w:cs="Arial"/>
                <w:b/>
                <w:sz w:val="21"/>
                <w:szCs w:val="21"/>
              </w:rPr>
              <w:t>Aujourd’hui, le</w:t>
            </w:r>
            <w:r w:rsidR="00477016" w:rsidRPr="000757D6">
              <w:rPr>
                <w:rFonts w:ascii="Arial" w:hAnsi="Arial" w:cs="Arial"/>
                <w:b/>
                <w:sz w:val="21"/>
                <w:szCs w:val="21"/>
              </w:rPr>
              <w:t xml:space="preserve"> ceebu jën</w:t>
            </w:r>
            <w:r w:rsidRPr="000757D6">
              <w:rPr>
                <w:rFonts w:ascii="Arial" w:hAnsi="Arial" w:cs="Arial"/>
                <w:b/>
                <w:sz w:val="21"/>
                <w:szCs w:val="21"/>
              </w:rPr>
              <w:t xml:space="preserve"> préparé à Saint-Louis conserve toujours une longueur</w:t>
            </w:r>
            <w:r w:rsidR="00477016" w:rsidRPr="000757D6">
              <w:rPr>
                <w:rFonts w:ascii="Arial" w:hAnsi="Arial" w:cs="Arial"/>
                <w:b/>
                <w:sz w:val="21"/>
                <w:szCs w:val="21"/>
              </w:rPr>
              <w:t xml:space="preserve"> d’avance</w:t>
            </w:r>
            <w:r w:rsidRPr="000757D6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477016" w:rsidRPr="000757D6">
              <w:rPr>
                <w:rFonts w:ascii="Arial" w:hAnsi="Arial" w:cs="Arial"/>
                <w:b/>
                <w:sz w:val="21"/>
                <w:szCs w:val="21"/>
              </w:rPr>
              <w:t xml:space="preserve">sur celui mijoté ailleurs, car </w:t>
            </w:r>
            <w:r w:rsidR="002C3C3E">
              <w:rPr>
                <w:rFonts w:ascii="Arial" w:hAnsi="Arial" w:cs="Arial"/>
                <w:b/>
                <w:sz w:val="21"/>
                <w:szCs w:val="21"/>
              </w:rPr>
              <w:t xml:space="preserve"> lié au fait que</w:t>
            </w:r>
            <w:r w:rsidR="00477016" w:rsidRPr="000757D6">
              <w:rPr>
                <w:rFonts w:ascii="Arial" w:hAnsi="Arial" w:cs="Arial"/>
                <w:b/>
                <w:sz w:val="21"/>
                <w:szCs w:val="21"/>
              </w:rPr>
              <w:t xml:space="preserve"> le poisson n’est pas </w:t>
            </w:r>
            <w:r w:rsidR="00BF5121" w:rsidRPr="000757D6">
              <w:rPr>
                <w:rFonts w:ascii="Arial" w:hAnsi="Arial" w:cs="Arial"/>
                <w:b/>
                <w:sz w:val="21"/>
                <w:szCs w:val="21"/>
              </w:rPr>
              <w:t>frit.</w:t>
            </w:r>
            <w:r w:rsidR="00F70E34" w:rsidRPr="000757D6">
              <w:rPr>
                <w:rFonts w:ascii="Arial" w:hAnsi="Arial" w:cs="Arial"/>
                <w:b/>
                <w:sz w:val="21"/>
                <w:szCs w:val="21"/>
              </w:rPr>
              <w:t xml:space="preserve"> O</w:t>
            </w:r>
            <w:r w:rsidRPr="000757D6">
              <w:rPr>
                <w:rFonts w:ascii="Arial" w:hAnsi="Arial" w:cs="Arial"/>
                <w:b/>
                <w:sz w:val="21"/>
                <w:szCs w:val="21"/>
              </w:rPr>
              <w:t>n  fait rissoler</w:t>
            </w:r>
            <w:r w:rsidR="00BF5121" w:rsidRPr="000757D6">
              <w:rPr>
                <w:rFonts w:ascii="Arial" w:hAnsi="Arial" w:cs="Arial"/>
                <w:b/>
                <w:sz w:val="21"/>
                <w:szCs w:val="21"/>
              </w:rPr>
              <w:t xml:space="preserve"> tomates et oignons </w:t>
            </w:r>
            <w:r w:rsidRPr="000757D6">
              <w:rPr>
                <w:rFonts w:ascii="Arial" w:hAnsi="Arial" w:cs="Arial"/>
                <w:b/>
                <w:sz w:val="21"/>
                <w:szCs w:val="21"/>
              </w:rPr>
              <w:t xml:space="preserve"> avant de mettr</w:t>
            </w:r>
            <w:r w:rsidR="00BF5121" w:rsidRPr="000757D6">
              <w:rPr>
                <w:rFonts w:ascii="Arial" w:hAnsi="Arial" w:cs="Arial"/>
                <w:b/>
                <w:sz w:val="21"/>
                <w:szCs w:val="21"/>
              </w:rPr>
              <w:t xml:space="preserve">e le poisson bien farci </w:t>
            </w:r>
            <w:r w:rsidR="008C4015" w:rsidRPr="000757D6">
              <w:rPr>
                <w:rFonts w:ascii="Arial" w:hAnsi="Arial" w:cs="Arial"/>
                <w:b/>
                <w:sz w:val="21"/>
                <w:szCs w:val="21"/>
              </w:rPr>
              <w:t>au « roof »</w:t>
            </w:r>
            <w:r w:rsidR="00F70E34" w:rsidRPr="000757D6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  <w:p w:rsidR="008C4015" w:rsidRPr="000757D6" w:rsidRDefault="008C4015" w:rsidP="00147AC4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567"/>
              </w:tabs>
              <w:snapToGrid/>
              <w:spacing w:before="0" w:after="0"/>
              <w:ind w:left="0"/>
              <w:rPr>
                <w:rFonts w:eastAsia="Times New Roman"/>
                <w:snapToGrid/>
                <w:sz w:val="21"/>
                <w:szCs w:val="21"/>
                <w:lang w:val="fr-FR" w:eastAsia="fr-FR"/>
              </w:rPr>
            </w:pPr>
            <w:r w:rsidRPr="000757D6">
              <w:rPr>
                <w:b/>
                <w:snapToGrid/>
                <w:sz w:val="20"/>
                <w:szCs w:val="20"/>
                <w:u w:val="single"/>
                <w:lang w:val="fr-FR"/>
              </w:rPr>
              <w:t>Eléments composants le</w:t>
            </w:r>
            <w:r w:rsidRPr="000757D6">
              <w:rPr>
                <w:b/>
                <w:sz w:val="21"/>
                <w:szCs w:val="21"/>
                <w:u w:val="single"/>
                <w:lang w:val="fr-FR"/>
              </w:rPr>
              <w:t xml:space="preserve"> ceebu jën</w:t>
            </w:r>
            <w:r w:rsidRPr="000757D6">
              <w:rPr>
                <w:snapToGrid/>
                <w:sz w:val="20"/>
                <w:szCs w:val="20"/>
                <w:lang w:val="fr-FR"/>
              </w:rPr>
              <w:t xml:space="preserve">  :</w:t>
            </w:r>
          </w:p>
          <w:p w:rsidR="008C4015" w:rsidRPr="000757D6" w:rsidRDefault="008C4015" w:rsidP="00147AC4">
            <w:pPr>
              <w:shd w:val="clear" w:color="auto" w:fill="FFFFFF"/>
              <w:tabs>
                <w:tab w:val="clear" w:pos="567"/>
              </w:tabs>
              <w:snapToGrid/>
              <w:spacing w:before="0" w:after="0"/>
              <w:ind w:left="-360"/>
              <w:rPr>
                <w:rFonts w:eastAsia="Times New Roman"/>
                <w:snapToGrid/>
                <w:sz w:val="21"/>
                <w:szCs w:val="21"/>
                <w:lang w:val="fr-FR" w:eastAsia="fr-FR"/>
              </w:rPr>
            </w:pPr>
            <w:r w:rsidRPr="000757D6">
              <w:rPr>
                <w:snapToGrid/>
                <w:sz w:val="20"/>
                <w:szCs w:val="20"/>
                <w:lang w:val="fr-FR"/>
              </w:rPr>
              <w:t xml:space="preserve"> </w:t>
            </w:r>
            <w:r w:rsidR="00F9321E" w:rsidRPr="000757D6">
              <w:rPr>
                <w:snapToGrid/>
                <w:sz w:val="20"/>
                <w:szCs w:val="20"/>
                <w:lang w:val="fr-FR"/>
              </w:rPr>
              <w:t xml:space="preserve">Le </w:t>
            </w:r>
            <w:r w:rsidR="008E4D76" w:rsidRPr="000757D6">
              <w:rPr>
                <w:snapToGrid/>
                <w:sz w:val="20"/>
                <w:szCs w:val="20"/>
                <w:lang w:val="fr-FR"/>
              </w:rPr>
              <w:t xml:space="preserve"> </w:t>
            </w:r>
            <w:r w:rsidRPr="000757D6">
              <w:rPr>
                <w:snapToGrid/>
                <w:sz w:val="20"/>
                <w:szCs w:val="20"/>
                <w:lang w:val="fr-FR"/>
              </w:rPr>
              <w:t xml:space="preserve">- </w:t>
            </w:r>
            <w:r w:rsidR="008E4D76" w:rsidRPr="000757D6">
              <w:rPr>
                <w:b/>
                <w:sz w:val="21"/>
                <w:szCs w:val="21"/>
                <w:u w:val="single"/>
                <w:shd w:val="clear" w:color="auto" w:fill="FFFFFF"/>
                <w:lang w:val="fr-FR"/>
              </w:rPr>
              <w:t>R</w:t>
            </w:r>
            <w:r w:rsidR="00AE48F0" w:rsidRPr="000757D6">
              <w:rPr>
                <w:b/>
                <w:sz w:val="21"/>
                <w:szCs w:val="21"/>
                <w:u w:val="single"/>
                <w:shd w:val="clear" w:color="auto" w:fill="FFFFFF"/>
                <w:lang w:val="fr-FR"/>
              </w:rPr>
              <w:t>iz</w:t>
            </w:r>
            <w:r w:rsidR="00AE48F0" w:rsidRPr="000757D6">
              <w:rPr>
                <w:sz w:val="21"/>
                <w:szCs w:val="21"/>
                <w:shd w:val="clear" w:color="auto" w:fill="FFFFFF"/>
                <w:lang w:val="fr-FR"/>
              </w:rPr>
              <w:t xml:space="preserve"> </w:t>
            </w:r>
            <w:r w:rsidR="00AE48F0" w:rsidRPr="000757D6">
              <w:rPr>
                <w:rFonts w:eastAsia="Times New Roman"/>
                <w:snapToGrid/>
                <w:sz w:val="21"/>
                <w:szCs w:val="21"/>
                <w:lang w:val="fr-FR" w:eastAsia="fr-FR"/>
              </w:rPr>
              <w:t xml:space="preserve"> (</w:t>
            </w:r>
            <w:r w:rsidR="008E4D76" w:rsidRPr="000757D6">
              <w:rPr>
                <w:rFonts w:eastAsia="Times New Roman"/>
                <w:snapToGrid/>
                <w:sz w:val="21"/>
                <w:szCs w:val="21"/>
                <w:lang w:val="fr-FR" w:eastAsia="fr-FR"/>
              </w:rPr>
              <w:t xml:space="preserve">brisé </w:t>
            </w:r>
            <w:r w:rsidR="00AE48F0" w:rsidRPr="000757D6">
              <w:rPr>
                <w:rFonts w:eastAsia="Times New Roman"/>
                <w:snapToGrid/>
                <w:sz w:val="21"/>
                <w:szCs w:val="21"/>
                <w:lang w:val="fr-FR" w:eastAsia="fr-FR"/>
              </w:rPr>
              <w:t>de préférence)</w:t>
            </w:r>
          </w:p>
          <w:p w:rsidR="008C4015" w:rsidRPr="000757D6" w:rsidRDefault="008C4015" w:rsidP="00147AC4">
            <w:pPr>
              <w:shd w:val="clear" w:color="auto" w:fill="FFFFFF"/>
              <w:tabs>
                <w:tab w:val="clear" w:pos="567"/>
              </w:tabs>
              <w:snapToGrid/>
              <w:spacing w:before="0" w:after="0"/>
              <w:ind w:left="-360"/>
              <w:rPr>
                <w:rFonts w:eastAsia="Times New Roman"/>
                <w:snapToGrid/>
                <w:sz w:val="21"/>
                <w:szCs w:val="21"/>
                <w:lang w:val="fr-FR" w:eastAsia="fr-FR"/>
              </w:rPr>
            </w:pPr>
            <w:r w:rsidRPr="000757D6">
              <w:rPr>
                <w:sz w:val="21"/>
                <w:szCs w:val="21"/>
                <w:shd w:val="clear" w:color="auto" w:fill="FFFFFF"/>
                <w:lang w:val="fr-FR"/>
              </w:rPr>
              <w:t xml:space="preserve"> d</w:t>
            </w:r>
            <w:r w:rsidR="00AE48F0" w:rsidRPr="000757D6">
              <w:rPr>
                <w:sz w:val="21"/>
                <w:szCs w:val="21"/>
                <w:shd w:val="clear" w:color="auto" w:fill="FFFFFF"/>
                <w:lang w:val="fr-FR"/>
              </w:rPr>
              <w:t xml:space="preserve"> </w:t>
            </w:r>
            <w:r w:rsidRPr="000757D6">
              <w:rPr>
                <w:sz w:val="21"/>
                <w:szCs w:val="21"/>
                <w:shd w:val="clear" w:color="auto" w:fill="FFFFFF"/>
                <w:lang w:val="fr-FR"/>
              </w:rPr>
              <w:t xml:space="preserve"> </w:t>
            </w:r>
            <w:r w:rsidR="008E4D76" w:rsidRPr="000757D6">
              <w:rPr>
                <w:sz w:val="21"/>
                <w:szCs w:val="21"/>
                <w:shd w:val="clear" w:color="auto" w:fill="FFFFFF"/>
                <w:lang w:val="fr-FR"/>
              </w:rPr>
              <w:t xml:space="preserve"> </w:t>
            </w:r>
            <w:r w:rsidRPr="000757D6">
              <w:rPr>
                <w:sz w:val="21"/>
                <w:szCs w:val="21"/>
                <w:shd w:val="clear" w:color="auto" w:fill="FFFFFF"/>
                <w:lang w:val="fr-FR"/>
              </w:rPr>
              <w:t>-</w:t>
            </w:r>
            <w:r w:rsidR="001F1084" w:rsidRPr="000757D6">
              <w:rPr>
                <w:sz w:val="21"/>
                <w:szCs w:val="21"/>
                <w:lang w:val="fr-FR"/>
              </w:rPr>
              <w:t xml:space="preserve"> </w:t>
            </w:r>
            <w:r w:rsidR="001F1084" w:rsidRPr="000757D6">
              <w:rPr>
                <w:rFonts w:eastAsia="Times New Roman"/>
                <w:b/>
                <w:snapToGrid/>
                <w:sz w:val="21"/>
                <w:szCs w:val="21"/>
                <w:lang w:val="fr-FR" w:eastAsia="fr-FR"/>
              </w:rPr>
              <w:t>Poisson</w:t>
            </w:r>
            <w:r w:rsidR="00AE48F0" w:rsidRPr="000757D6">
              <w:rPr>
                <w:rFonts w:eastAsia="Times New Roman"/>
                <w:b/>
                <w:snapToGrid/>
                <w:sz w:val="21"/>
                <w:szCs w:val="21"/>
                <w:lang w:val="fr-FR" w:eastAsia="fr-FR"/>
              </w:rPr>
              <w:t>s</w:t>
            </w:r>
            <w:r w:rsidR="001F1084" w:rsidRPr="000757D6">
              <w:rPr>
                <w:rFonts w:eastAsia="Times New Roman"/>
                <w:snapToGrid/>
                <w:sz w:val="21"/>
                <w:szCs w:val="21"/>
                <w:lang w:val="fr-FR" w:eastAsia="fr-FR"/>
              </w:rPr>
              <w:t xml:space="preserve"> (m</w:t>
            </w:r>
            <w:r w:rsidR="008E4D76" w:rsidRPr="000757D6">
              <w:rPr>
                <w:rFonts w:eastAsia="Times New Roman"/>
                <w:snapToGrid/>
                <w:sz w:val="21"/>
                <w:szCs w:val="21"/>
                <w:lang w:val="fr-FR" w:eastAsia="fr-FR"/>
              </w:rPr>
              <w:t>é</w:t>
            </w:r>
            <w:r w:rsidR="001F1084" w:rsidRPr="000757D6">
              <w:rPr>
                <w:rFonts w:eastAsia="Times New Roman"/>
                <w:snapToGrid/>
                <w:sz w:val="21"/>
                <w:szCs w:val="21"/>
                <w:lang w:val="fr-FR" w:eastAsia="fr-FR"/>
              </w:rPr>
              <w:t>rou</w:t>
            </w:r>
            <w:r w:rsidR="008E4D76" w:rsidRPr="000757D6">
              <w:rPr>
                <w:rFonts w:eastAsia="Times New Roman"/>
                <w:snapToGrid/>
                <w:sz w:val="21"/>
                <w:szCs w:val="21"/>
                <w:lang w:val="fr-FR" w:eastAsia="fr-FR"/>
              </w:rPr>
              <w:t xml:space="preserve">, gros tilapia, belle dorade, vivaneau, </w:t>
            </w:r>
            <w:r w:rsidR="001F1084" w:rsidRPr="000757D6">
              <w:rPr>
                <w:rFonts w:eastAsia="Times New Roman"/>
                <w:snapToGrid/>
                <w:sz w:val="21"/>
                <w:szCs w:val="21"/>
                <w:lang w:val="fr-FR" w:eastAsia="fr-FR"/>
              </w:rPr>
              <w:t>mulet ou capitaine</w:t>
            </w:r>
            <w:r w:rsidRPr="000757D6">
              <w:rPr>
                <w:rFonts w:eastAsia="Times New Roman"/>
                <w:snapToGrid/>
                <w:sz w:val="21"/>
                <w:szCs w:val="21"/>
                <w:lang w:val="fr-FR" w:eastAsia="fr-FR"/>
              </w:rPr>
              <w:t xml:space="preserve"> …</w:t>
            </w:r>
            <w:r w:rsidR="00F9321E" w:rsidRPr="000757D6">
              <w:rPr>
                <w:rFonts w:eastAsia="Times New Roman"/>
                <w:snapToGrid/>
                <w:sz w:val="21"/>
                <w:szCs w:val="21"/>
                <w:lang w:val="fr-FR" w:eastAsia="fr-FR"/>
              </w:rPr>
              <w:t>)</w:t>
            </w:r>
          </w:p>
          <w:p w:rsidR="001F1084" w:rsidRPr="000757D6" w:rsidRDefault="008C4015" w:rsidP="00147AC4">
            <w:pPr>
              <w:shd w:val="clear" w:color="auto" w:fill="FFFFFF"/>
              <w:tabs>
                <w:tab w:val="clear" w:pos="567"/>
              </w:tabs>
              <w:snapToGrid/>
              <w:spacing w:before="0" w:after="0"/>
              <w:ind w:left="-360"/>
              <w:rPr>
                <w:rFonts w:eastAsia="Times New Roman"/>
                <w:snapToGrid/>
                <w:sz w:val="21"/>
                <w:szCs w:val="21"/>
                <w:lang w:val="fr-FR" w:eastAsia="fr-FR"/>
              </w:rPr>
            </w:pPr>
            <w:r w:rsidRPr="000757D6">
              <w:rPr>
                <w:rFonts w:eastAsia="Times New Roman"/>
                <w:snapToGrid/>
                <w:sz w:val="21"/>
                <w:szCs w:val="21"/>
                <w:lang w:val="fr-FR" w:eastAsia="fr-FR"/>
              </w:rPr>
              <w:t xml:space="preserve"> et</w:t>
            </w:r>
            <w:r w:rsidR="008E4D76" w:rsidRPr="000757D6">
              <w:rPr>
                <w:rFonts w:eastAsia="Times New Roman"/>
                <w:snapToGrid/>
                <w:sz w:val="21"/>
                <w:szCs w:val="21"/>
                <w:lang w:val="fr-FR" w:eastAsia="fr-FR"/>
              </w:rPr>
              <w:t xml:space="preserve"> - </w:t>
            </w:r>
            <w:r w:rsidR="001F1084" w:rsidRPr="000757D6">
              <w:rPr>
                <w:rFonts w:eastAsia="Times New Roman"/>
                <w:b/>
                <w:snapToGrid/>
                <w:sz w:val="21"/>
                <w:szCs w:val="21"/>
                <w:u w:val="single"/>
                <w:lang w:val="fr-FR" w:eastAsia="fr-FR"/>
              </w:rPr>
              <w:t>l</w:t>
            </w:r>
            <w:r w:rsidR="00AE48F0" w:rsidRPr="000757D6">
              <w:rPr>
                <w:rFonts w:eastAsia="Times New Roman"/>
                <w:b/>
                <w:snapToGrid/>
                <w:sz w:val="21"/>
                <w:szCs w:val="21"/>
                <w:u w:val="single"/>
                <w:lang w:val="fr-FR" w:eastAsia="fr-FR"/>
              </w:rPr>
              <w:t>é</w:t>
            </w:r>
            <w:r w:rsidR="001F1084" w:rsidRPr="000757D6">
              <w:rPr>
                <w:rFonts w:eastAsia="Times New Roman"/>
                <w:b/>
                <w:snapToGrid/>
                <w:sz w:val="21"/>
                <w:szCs w:val="21"/>
                <w:u w:val="single"/>
                <w:lang w:val="fr-FR" w:eastAsia="fr-FR"/>
              </w:rPr>
              <w:t>gumes</w:t>
            </w:r>
            <w:r w:rsidR="00AE48F0" w:rsidRPr="000757D6">
              <w:rPr>
                <w:rFonts w:eastAsia="Times New Roman"/>
                <w:snapToGrid/>
                <w:sz w:val="21"/>
                <w:szCs w:val="21"/>
                <w:lang w:val="fr-FR" w:eastAsia="fr-FR"/>
              </w:rPr>
              <w:t xml:space="preserve"> : </w:t>
            </w:r>
            <w:r w:rsidR="008E4D76" w:rsidRPr="000757D6">
              <w:rPr>
                <w:rFonts w:eastAsia="Times New Roman"/>
                <w:snapToGrid/>
                <w:sz w:val="21"/>
                <w:szCs w:val="21"/>
                <w:lang w:val="fr-FR" w:eastAsia="fr-FR"/>
              </w:rPr>
              <w:t>carottes,  manioc, choux fleur, choux</w:t>
            </w:r>
            <w:r w:rsidR="001F1084" w:rsidRPr="000757D6">
              <w:rPr>
                <w:rFonts w:eastAsia="Times New Roman"/>
                <w:snapToGrid/>
                <w:sz w:val="21"/>
                <w:szCs w:val="21"/>
                <w:lang w:val="fr-FR" w:eastAsia="fr-FR"/>
              </w:rPr>
              <w:t>, a</w:t>
            </w:r>
            <w:r w:rsidRPr="000757D6">
              <w:rPr>
                <w:rFonts w:eastAsia="Times New Roman"/>
                <w:snapToGrid/>
                <w:sz w:val="21"/>
                <w:szCs w:val="21"/>
                <w:lang w:val="fr-FR" w:eastAsia="fr-FR"/>
              </w:rPr>
              <w:t>ubergine</w:t>
            </w:r>
            <w:r w:rsidR="00147AC4" w:rsidRPr="000757D6">
              <w:rPr>
                <w:rFonts w:eastAsia="Times New Roman"/>
                <w:snapToGrid/>
                <w:sz w:val="21"/>
                <w:szCs w:val="21"/>
                <w:lang w:val="fr-FR" w:eastAsia="fr-FR"/>
              </w:rPr>
              <w:t xml:space="preserve"> </w:t>
            </w:r>
            <w:r w:rsidR="00B04D99">
              <w:rPr>
                <w:rFonts w:eastAsia="Times New Roman"/>
                <w:snapToGrid/>
                <w:sz w:val="21"/>
                <w:szCs w:val="21"/>
                <w:lang w:val="fr-FR" w:eastAsia="fr-FR"/>
              </w:rPr>
              <w:t>amer</w:t>
            </w:r>
            <w:r w:rsidRPr="000757D6">
              <w:rPr>
                <w:rFonts w:eastAsia="Times New Roman"/>
                <w:snapToGrid/>
                <w:sz w:val="21"/>
                <w:szCs w:val="21"/>
                <w:lang w:val="fr-FR" w:eastAsia="fr-FR"/>
              </w:rPr>
              <w:t>, gom</w:t>
            </w:r>
            <w:r w:rsidR="008E4D76" w:rsidRPr="000757D6">
              <w:rPr>
                <w:rFonts w:eastAsia="Times New Roman"/>
                <w:snapToGrid/>
                <w:sz w:val="21"/>
                <w:szCs w:val="21"/>
                <w:lang w:val="fr-FR" w:eastAsia="fr-FR"/>
              </w:rPr>
              <w:t>bos, navet, ail, oignons</w:t>
            </w:r>
            <w:r w:rsidRPr="000757D6">
              <w:rPr>
                <w:rFonts w:eastAsia="Times New Roman"/>
                <w:snapToGrid/>
                <w:sz w:val="21"/>
                <w:szCs w:val="21"/>
                <w:lang w:val="fr-FR" w:eastAsia="fr-FR"/>
              </w:rPr>
              <w:t>,</w:t>
            </w:r>
            <w:r w:rsidR="008E4D76" w:rsidRPr="000757D6">
              <w:rPr>
                <w:rFonts w:eastAsia="Times New Roman"/>
                <w:snapToGrid/>
                <w:sz w:val="21"/>
                <w:szCs w:val="21"/>
                <w:lang w:val="fr-FR" w:eastAsia="fr-FR"/>
              </w:rPr>
              <w:t xml:space="preserve"> yet/             </w:t>
            </w:r>
            <w:r w:rsidR="001F1084" w:rsidRPr="000757D6">
              <w:rPr>
                <w:rFonts w:eastAsia="Times New Roman"/>
                <w:snapToGrid/>
                <w:sz w:val="21"/>
                <w:szCs w:val="21"/>
                <w:lang w:val="fr-FR" w:eastAsia="fr-FR"/>
              </w:rPr>
              <w:t>et (</w:t>
            </w:r>
            <w:r w:rsidR="007E0B09" w:rsidRPr="000757D6">
              <w:rPr>
                <w:b/>
                <w:bCs/>
                <w:sz w:val="21"/>
                <w:szCs w:val="21"/>
                <w:shd w:val="clear" w:color="auto" w:fill="FFFFFF"/>
                <w:lang w:val="fr-FR"/>
              </w:rPr>
              <w:t>Cymbium</w:t>
            </w:r>
            <w:r w:rsidR="001F1084" w:rsidRPr="000757D6">
              <w:rPr>
                <w:rFonts w:eastAsia="Times New Roman"/>
                <w:snapToGrid/>
                <w:sz w:val="21"/>
                <w:szCs w:val="21"/>
                <w:lang w:val="fr-FR" w:eastAsia="fr-FR"/>
              </w:rPr>
              <w:t>),</w:t>
            </w:r>
            <w:r w:rsidR="00147AC4" w:rsidRPr="000757D6">
              <w:rPr>
                <w:rFonts w:eastAsia="Times New Roman"/>
                <w:snapToGrid/>
                <w:sz w:val="21"/>
                <w:szCs w:val="21"/>
                <w:lang w:val="fr-FR" w:eastAsia="fr-FR"/>
              </w:rPr>
              <w:t xml:space="preserve">  </w:t>
            </w:r>
            <w:r w:rsidR="00B04D99" w:rsidRPr="000757D6">
              <w:rPr>
                <w:rFonts w:eastAsia="Times New Roman"/>
                <w:snapToGrid/>
                <w:sz w:val="21"/>
                <w:szCs w:val="21"/>
                <w:lang w:val="fr-FR" w:eastAsia="fr-FR"/>
              </w:rPr>
              <w:t>Guedj</w:t>
            </w:r>
            <w:r w:rsidR="00147AC4" w:rsidRPr="000757D6">
              <w:rPr>
                <w:rFonts w:eastAsia="Times New Roman"/>
                <w:snapToGrid/>
                <w:sz w:val="21"/>
                <w:szCs w:val="21"/>
                <w:lang w:val="fr-FR" w:eastAsia="fr-FR"/>
              </w:rPr>
              <w:t xml:space="preserve"> (poisson</w:t>
            </w:r>
            <w:r w:rsidR="008E4D76" w:rsidRPr="000757D6">
              <w:rPr>
                <w:rFonts w:eastAsia="Times New Roman"/>
                <w:snapToGrid/>
                <w:sz w:val="21"/>
                <w:szCs w:val="21"/>
                <w:lang w:val="fr-FR" w:eastAsia="fr-FR"/>
              </w:rPr>
              <w:t xml:space="preserve"> séché), oseilles  de guinée (</w:t>
            </w:r>
            <w:r w:rsidR="00147AC4" w:rsidRPr="000757D6">
              <w:rPr>
                <w:rFonts w:eastAsia="Times New Roman"/>
                <w:snapToGrid/>
                <w:sz w:val="21"/>
                <w:szCs w:val="21"/>
                <w:lang w:val="fr-FR" w:eastAsia="fr-FR"/>
              </w:rPr>
              <w:t>feuille</w:t>
            </w:r>
            <w:r w:rsidR="008E4D76" w:rsidRPr="000757D6">
              <w:rPr>
                <w:rFonts w:eastAsia="Times New Roman"/>
                <w:snapToGrid/>
                <w:sz w:val="21"/>
                <w:szCs w:val="21"/>
                <w:lang w:val="fr-FR" w:eastAsia="fr-FR"/>
              </w:rPr>
              <w:t>s et fleurs blanches)</w:t>
            </w:r>
            <w:r w:rsidR="001F1084" w:rsidRPr="000757D6">
              <w:rPr>
                <w:rFonts w:eastAsia="Times New Roman"/>
                <w:snapToGrid/>
                <w:sz w:val="21"/>
                <w:szCs w:val="21"/>
                <w:lang w:val="fr-FR" w:eastAsia="fr-FR"/>
              </w:rPr>
              <w:t>, concentré de tomate</w:t>
            </w:r>
            <w:r w:rsidR="005C1174" w:rsidRPr="000757D6">
              <w:rPr>
                <w:rFonts w:eastAsia="Times New Roman"/>
                <w:snapToGrid/>
                <w:sz w:val="21"/>
                <w:szCs w:val="21"/>
                <w:lang w:val="fr-FR" w:eastAsia="fr-FR"/>
              </w:rPr>
              <w:t xml:space="preserve"> </w:t>
            </w:r>
            <w:r w:rsidR="00147AC4" w:rsidRPr="000757D6">
              <w:rPr>
                <w:rFonts w:eastAsia="Times New Roman"/>
                <w:snapToGrid/>
                <w:sz w:val="21"/>
                <w:szCs w:val="21"/>
                <w:lang w:val="fr-FR" w:eastAsia="fr-FR"/>
              </w:rPr>
              <w:t>et /</w:t>
            </w:r>
            <w:r w:rsidR="005C1174" w:rsidRPr="000757D6">
              <w:rPr>
                <w:rFonts w:eastAsia="Times New Roman"/>
                <w:snapToGrid/>
                <w:sz w:val="21"/>
                <w:szCs w:val="21"/>
                <w:lang w:val="fr-FR" w:eastAsia="fr-FR"/>
              </w:rPr>
              <w:t>ou tomate c</w:t>
            </w:r>
            <w:r w:rsidR="00147AC4" w:rsidRPr="000757D6">
              <w:rPr>
                <w:rFonts w:eastAsia="Times New Roman"/>
                <w:snapToGrid/>
                <w:sz w:val="21"/>
                <w:szCs w:val="21"/>
                <w:lang w:val="fr-FR" w:eastAsia="fr-FR"/>
              </w:rPr>
              <w:t>e</w:t>
            </w:r>
            <w:r w:rsidR="005C1174" w:rsidRPr="000757D6">
              <w:rPr>
                <w:rFonts w:eastAsia="Times New Roman"/>
                <w:snapToGrid/>
                <w:sz w:val="21"/>
                <w:szCs w:val="21"/>
                <w:lang w:val="fr-FR" w:eastAsia="fr-FR"/>
              </w:rPr>
              <w:t>rise</w:t>
            </w:r>
            <w:r w:rsidR="00147AC4" w:rsidRPr="000757D6">
              <w:rPr>
                <w:rFonts w:eastAsia="Times New Roman"/>
                <w:snapToGrid/>
                <w:sz w:val="21"/>
                <w:szCs w:val="21"/>
                <w:lang w:val="fr-FR" w:eastAsia="fr-FR"/>
              </w:rPr>
              <w:t>,  huile, p</w:t>
            </w:r>
            <w:r w:rsidR="001F1084" w:rsidRPr="000757D6">
              <w:rPr>
                <w:rFonts w:eastAsia="Times New Roman"/>
                <w:snapToGrid/>
                <w:sz w:val="21"/>
                <w:szCs w:val="21"/>
                <w:lang w:val="fr-FR" w:eastAsia="fr-FR"/>
              </w:rPr>
              <w:t xml:space="preserve">ersil, </w:t>
            </w:r>
            <w:r w:rsidR="00147AC4" w:rsidRPr="000757D6">
              <w:rPr>
                <w:rFonts w:eastAsia="Times New Roman"/>
                <w:snapToGrid/>
                <w:sz w:val="21"/>
                <w:szCs w:val="21"/>
                <w:lang w:val="fr-FR" w:eastAsia="fr-FR"/>
              </w:rPr>
              <w:t>p</w:t>
            </w:r>
            <w:r w:rsidR="008E4D76" w:rsidRPr="000757D6">
              <w:rPr>
                <w:rFonts w:eastAsia="Times New Roman"/>
                <w:snapToGrid/>
                <w:sz w:val="21"/>
                <w:szCs w:val="21"/>
                <w:lang w:val="fr-FR" w:eastAsia="fr-FR"/>
              </w:rPr>
              <w:t>oivron</w:t>
            </w:r>
            <w:r w:rsidR="001F1084" w:rsidRPr="000757D6">
              <w:rPr>
                <w:rFonts w:eastAsia="Times New Roman"/>
                <w:snapToGrid/>
                <w:sz w:val="21"/>
                <w:szCs w:val="21"/>
                <w:lang w:val="fr-FR" w:eastAsia="fr-FR"/>
              </w:rPr>
              <w:t>, piment,</w:t>
            </w:r>
            <w:r w:rsidR="008E4D76" w:rsidRPr="000757D6">
              <w:rPr>
                <w:rFonts w:eastAsia="Times New Roman"/>
                <w:snapToGrid/>
                <w:sz w:val="21"/>
                <w:szCs w:val="21"/>
                <w:lang w:val="fr-FR" w:eastAsia="fr-FR"/>
              </w:rPr>
              <w:t xml:space="preserve"> citron, tamarin, sel,  feuilles </w:t>
            </w:r>
            <w:r w:rsidR="001F1084" w:rsidRPr="000757D6">
              <w:rPr>
                <w:rFonts w:eastAsia="Times New Roman"/>
                <w:snapToGrid/>
                <w:sz w:val="21"/>
                <w:szCs w:val="21"/>
                <w:lang w:val="fr-FR" w:eastAsia="fr-FR"/>
              </w:rPr>
              <w:t xml:space="preserve">de </w:t>
            </w:r>
            <w:r w:rsidR="00147AC4" w:rsidRPr="000757D6">
              <w:rPr>
                <w:rFonts w:eastAsia="Times New Roman"/>
                <w:snapToGrid/>
                <w:sz w:val="21"/>
                <w:szCs w:val="21"/>
                <w:lang w:val="fr-FR" w:eastAsia="fr-FR"/>
              </w:rPr>
              <w:t xml:space="preserve"> </w:t>
            </w:r>
            <w:r w:rsidR="001F1084" w:rsidRPr="000757D6">
              <w:rPr>
                <w:rFonts w:eastAsia="Times New Roman"/>
                <w:snapToGrid/>
                <w:sz w:val="21"/>
                <w:szCs w:val="21"/>
                <w:lang w:val="fr-FR" w:eastAsia="fr-FR"/>
              </w:rPr>
              <w:t>laurier</w:t>
            </w:r>
            <w:r w:rsidR="00147AC4" w:rsidRPr="000757D6">
              <w:rPr>
                <w:rFonts w:eastAsia="Times New Roman"/>
                <w:snapToGrid/>
                <w:sz w:val="21"/>
                <w:szCs w:val="21"/>
                <w:lang w:val="fr-FR" w:eastAsia="fr-FR"/>
              </w:rPr>
              <w:t>, aubergine, …</w:t>
            </w:r>
          </w:p>
          <w:p w:rsidR="00807F9D" w:rsidRPr="000757D6" w:rsidRDefault="00807F9D" w:rsidP="00374DFD">
            <w:pPr>
              <w:jc w:val="right"/>
              <w:rPr>
                <w:sz w:val="20"/>
                <w:szCs w:val="20"/>
                <w:lang w:val="fr-FR"/>
              </w:rPr>
            </w:pPr>
          </w:p>
        </w:tc>
      </w:tr>
      <w:tr w:rsidR="00807F9D" w:rsidRPr="00D80BAB" w:rsidTr="00190F4C">
        <w:tc>
          <w:tcPr>
            <w:tcW w:w="709" w:type="dxa"/>
            <w:shd w:val="clear" w:color="auto" w:fill="D0CECE" w:themeFill="background2" w:themeFillShade="E6"/>
          </w:tcPr>
          <w:p w:rsidR="00807F9D" w:rsidRPr="000757D6" w:rsidRDefault="00807F9D" w:rsidP="004D5CA8">
            <w:pPr>
              <w:pStyle w:val="Sansinterligne"/>
              <w:rPr>
                <w:rFonts w:ascii="Arial" w:hAnsi="Arial" w:cs="Arial"/>
                <w:b/>
                <w:sz w:val="20"/>
                <w:szCs w:val="20"/>
              </w:rPr>
            </w:pPr>
            <w:r w:rsidRPr="000757D6">
              <w:rPr>
                <w:rFonts w:ascii="Arial" w:hAnsi="Arial" w:cs="Arial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10065" w:type="dxa"/>
            <w:shd w:val="clear" w:color="auto" w:fill="D0CECE" w:themeFill="background2" w:themeFillShade="E6"/>
          </w:tcPr>
          <w:p w:rsidR="00807F9D" w:rsidRPr="000757D6" w:rsidRDefault="00807F9D" w:rsidP="004D5CA8">
            <w:pPr>
              <w:pStyle w:val="Sansinterligne"/>
              <w:rPr>
                <w:rFonts w:ascii="Arial" w:hAnsi="Arial" w:cs="Arial"/>
                <w:b/>
                <w:bCs/>
                <w:caps/>
                <w:sz w:val="20"/>
                <w:szCs w:val="20"/>
                <w:lang w:val="fr-FR"/>
              </w:rPr>
            </w:pPr>
            <w:r w:rsidRPr="000757D6">
              <w:rPr>
                <w:rFonts w:ascii="Arial" w:hAnsi="Arial" w:cs="Arial"/>
                <w:b/>
                <w:bCs/>
                <w:caps/>
                <w:sz w:val="20"/>
                <w:szCs w:val="20"/>
                <w:lang w:val="fr-FR"/>
              </w:rPr>
              <w:t>Caractéristiques de l’élément du PCI</w:t>
            </w:r>
          </w:p>
        </w:tc>
      </w:tr>
      <w:tr w:rsidR="00807F9D" w:rsidRPr="00D80BAB" w:rsidTr="00190F4C">
        <w:tc>
          <w:tcPr>
            <w:tcW w:w="709" w:type="dxa"/>
          </w:tcPr>
          <w:p w:rsidR="00807F9D" w:rsidRPr="000757D6" w:rsidRDefault="00807F9D" w:rsidP="004D5CA8">
            <w:pPr>
              <w:pStyle w:val="Sansinterligne"/>
              <w:rPr>
                <w:rFonts w:ascii="Arial" w:hAnsi="Arial" w:cs="Arial"/>
                <w:bCs/>
                <w:caps/>
                <w:kern w:val="28"/>
                <w:sz w:val="20"/>
                <w:szCs w:val="20"/>
              </w:rPr>
            </w:pPr>
            <w:r w:rsidRPr="000757D6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10065" w:type="dxa"/>
          </w:tcPr>
          <w:p w:rsidR="000757D6" w:rsidRPr="000757D6" w:rsidRDefault="00807F9D" w:rsidP="004D5CA8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757D6">
              <w:rPr>
                <w:rFonts w:ascii="Arial" w:hAnsi="Arial" w:cs="Arial"/>
                <w:sz w:val="20"/>
                <w:szCs w:val="20"/>
                <w:lang w:val="fr-FR"/>
              </w:rPr>
              <w:t>Praticien(s)/interprète(s) directement impliqué(s) dans la représentation ou la pratique de l’élément   du PCI (préciser nom, âge, sexe, catégorie professionnelle, etc.)</w:t>
            </w:r>
            <w:r w:rsidR="000F3099" w:rsidRPr="000757D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660C89" w:rsidRPr="000757D6" w:rsidRDefault="00B04D99" w:rsidP="00B04D99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les femmes (mères et leurs filles qui apprennent), les pêcheurs qui procurent le poisson, les vendeurs de légumes,  </w:t>
            </w:r>
          </w:p>
        </w:tc>
      </w:tr>
      <w:tr w:rsidR="00807F9D" w:rsidRPr="00D80BAB" w:rsidTr="00190F4C">
        <w:tc>
          <w:tcPr>
            <w:tcW w:w="709" w:type="dxa"/>
          </w:tcPr>
          <w:p w:rsidR="00807F9D" w:rsidRPr="000757D6" w:rsidRDefault="00807F9D" w:rsidP="004D5CA8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0757D6">
              <w:rPr>
                <w:rFonts w:ascii="Arial" w:hAnsi="Arial" w:cs="Arial"/>
                <w:sz w:val="20"/>
                <w:szCs w:val="20"/>
                <w:lang w:val="fr-FR" w:eastAsia="fr-FR"/>
              </w:rPr>
              <w:t>2.2.</w:t>
            </w:r>
          </w:p>
        </w:tc>
        <w:tc>
          <w:tcPr>
            <w:tcW w:w="10065" w:type="dxa"/>
          </w:tcPr>
          <w:p w:rsidR="000757D6" w:rsidRPr="000757D6" w:rsidRDefault="00807F9D" w:rsidP="004D5CA8">
            <w:pPr>
              <w:pStyle w:val="Sansinterligne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0757D6">
              <w:rPr>
                <w:rFonts w:ascii="Arial" w:hAnsi="Arial" w:cs="Arial"/>
                <w:sz w:val="20"/>
                <w:szCs w:val="20"/>
                <w:lang w:val="fr-FR" w:eastAsia="fr-FR"/>
              </w:rPr>
              <w:t>Autres personnes de la communauté qui, sans être directement impliquées, contribuent à la pratique de l’élément ou en facilitent la pratique ou la transmission (préparation de la scène, costumes, formation, supervision)</w:t>
            </w:r>
            <w:r w:rsidR="009E5B1D" w:rsidRPr="000757D6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</w:p>
          <w:p w:rsidR="00660C89" w:rsidRPr="000757D6" w:rsidRDefault="00C22AA9" w:rsidP="004D5CA8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Ecoles  de </w:t>
            </w:r>
            <w:r w:rsidR="004A058D"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formation (hôtellerie),</w:t>
            </w:r>
            <w:r w:rsidR="004A5303"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 centres</w:t>
            </w:r>
            <w:r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 d’enseignement technique </w:t>
            </w:r>
            <w:r w:rsidR="004A058D"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(CRETEF), groupements féminins, Gr</w:t>
            </w:r>
            <w:r w:rsidR="00190F4C"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oupement d’intérêt Economique (</w:t>
            </w:r>
            <w:r w:rsidR="004A058D"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GIE)</w:t>
            </w:r>
          </w:p>
        </w:tc>
      </w:tr>
      <w:tr w:rsidR="00807F9D" w:rsidRPr="000757D6" w:rsidTr="00190F4C">
        <w:tc>
          <w:tcPr>
            <w:tcW w:w="709" w:type="dxa"/>
          </w:tcPr>
          <w:p w:rsidR="00807F9D" w:rsidRPr="000757D6" w:rsidRDefault="00807F9D" w:rsidP="004D5CA8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0757D6">
              <w:rPr>
                <w:rFonts w:ascii="Arial" w:hAnsi="Arial" w:cs="Arial"/>
                <w:sz w:val="20"/>
                <w:szCs w:val="20"/>
                <w:lang w:val="fr-FR" w:eastAsia="fr-FR"/>
              </w:rPr>
              <w:t>2.3.</w:t>
            </w:r>
          </w:p>
        </w:tc>
        <w:tc>
          <w:tcPr>
            <w:tcW w:w="10065" w:type="dxa"/>
          </w:tcPr>
          <w:p w:rsidR="000757D6" w:rsidRPr="000757D6" w:rsidRDefault="00807F9D" w:rsidP="004D5CA8">
            <w:pPr>
              <w:pStyle w:val="Sansinterligne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0757D6">
              <w:rPr>
                <w:rFonts w:ascii="Arial" w:hAnsi="Arial" w:cs="Arial"/>
                <w:sz w:val="20"/>
                <w:szCs w:val="20"/>
                <w:lang w:val="fr-FR" w:eastAsia="fr-FR"/>
              </w:rPr>
              <w:t>Langue(s) ou registre(s) de langue utilisée(s)</w:t>
            </w:r>
            <w:r w:rsidR="009E5B1D" w:rsidRPr="000757D6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 ? </w:t>
            </w:r>
          </w:p>
          <w:p w:rsidR="00660C89" w:rsidRPr="000757D6" w:rsidRDefault="009E5B1D" w:rsidP="004D5CA8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Langue</w:t>
            </w:r>
            <w:r w:rsidR="003E41FE"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 wolof</w:t>
            </w:r>
          </w:p>
        </w:tc>
      </w:tr>
      <w:tr w:rsidR="00807F9D" w:rsidRPr="00D80BAB" w:rsidTr="00190F4C">
        <w:tc>
          <w:tcPr>
            <w:tcW w:w="709" w:type="dxa"/>
          </w:tcPr>
          <w:p w:rsidR="00807F9D" w:rsidRPr="000757D6" w:rsidRDefault="00807F9D" w:rsidP="004D5CA8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0757D6">
              <w:rPr>
                <w:rFonts w:ascii="Arial" w:hAnsi="Arial" w:cs="Arial"/>
                <w:sz w:val="20"/>
                <w:szCs w:val="20"/>
                <w:lang w:val="fr-FR" w:eastAsia="fr-FR"/>
              </w:rPr>
              <w:t>2.4.</w:t>
            </w:r>
          </w:p>
        </w:tc>
        <w:tc>
          <w:tcPr>
            <w:tcW w:w="10065" w:type="dxa"/>
          </w:tcPr>
          <w:p w:rsidR="00807F9D" w:rsidRPr="000757D6" w:rsidRDefault="00807F9D" w:rsidP="004D5CA8">
            <w:pPr>
              <w:pStyle w:val="Sansinterligne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0757D6">
              <w:rPr>
                <w:rFonts w:ascii="Arial" w:hAnsi="Arial" w:cs="Arial"/>
                <w:sz w:val="20"/>
                <w:szCs w:val="20"/>
                <w:lang w:val="fr-FR" w:eastAsia="fr-FR"/>
              </w:rPr>
              <w:t>Éléments matériels (instruments, vêtements ou lieu[x] spécifiques, objets rituels), le cas échéant,    associés à la pratique ou à la transmission de l’élément du PCI</w:t>
            </w:r>
          </w:p>
          <w:p w:rsidR="004A058D" w:rsidRPr="000757D6" w:rsidRDefault="00190F4C" w:rsidP="004A058D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Fourneaux, bois mort</w:t>
            </w:r>
            <w:r w:rsidR="004A058D"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, charbon, réchaud à </w:t>
            </w:r>
            <w:r w:rsidR="00B04D99"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gaz</w:t>
            </w:r>
            <w:r w:rsidR="00B04D99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,</w:t>
            </w:r>
            <w:r w:rsidR="00B56607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 </w:t>
            </w:r>
            <w:r w:rsidR="00B56607" w:rsidRPr="002C3C3E">
              <w:rPr>
                <w:rFonts w:ascii="Arial" w:hAnsi="Arial" w:cs="Arial"/>
                <w:b/>
                <w:sz w:val="20"/>
                <w:lang w:val="fr-FR"/>
              </w:rPr>
              <w:t xml:space="preserve">allume feu, </w:t>
            </w:r>
            <w:r w:rsidR="00B04D99" w:rsidRPr="002C3C3E">
              <w:rPr>
                <w:rFonts w:ascii="Arial" w:hAnsi="Arial" w:cs="Arial"/>
                <w:b/>
                <w:sz w:val="20"/>
                <w:lang w:val="fr-FR"/>
              </w:rPr>
              <w:t>allumettes</w:t>
            </w:r>
            <w:r w:rsidR="00B56607" w:rsidRPr="002C3C3E">
              <w:rPr>
                <w:rFonts w:ascii="Arial" w:hAnsi="Arial" w:cs="Arial"/>
                <w:b/>
                <w:sz w:val="20"/>
                <w:lang w:val="fr-FR"/>
              </w:rPr>
              <w:t>,</w:t>
            </w:r>
          </w:p>
          <w:p w:rsidR="004A058D" w:rsidRPr="000757D6" w:rsidRDefault="004A058D" w:rsidP="004A058D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Marmite, couscoussier, écumoire, louche, calebasse, seau, bassine, assiettes, </w:t>
            </w:r>
            <w:r w:rsidR="00F70E34"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couteaux,</w:t>
            </w:r>
            <w:r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 </w:t>
            </w:r>
            <w:r w:rsidR="00F70E34"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mortier,</w:t>
            </w:r>
            <w:r w:rsidR="00B56607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 pilon,  ruban d’étanchéité,</w:t>
            </w:r>
            <w:r w:rsidR="00B56607" w:rsidRPr="002C3C3E">
              <w:rPr>
                <w:color w:val="000000"/>
                <w:sz w:val="27"/>
                <w:szCs w:val="27"/>
                <w:lang w:val="fr-FR"/>
              </w:rPr>
              <w:t xml:space="preserve"> </w:t>
            </w:r>
            <w:r w:rsidR="00B56607" w:rsidRPr="002C3C3E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passoires…</w:t>
            </w:r>
          </w:p>
          <w:p w:rsidR="00660C89" w:rsidRPr="000757D6" w:rsidRDefault="00660C89" w:rsidP="004D5CA8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</w:p>
        </w:tc>
      </w:tr>
      <w:tr w:rsidR="00807F9D" w:rsidRPr="00D80BAB" w:rsidTr="00190F4C">
        <w:tc>
          <w:tcPr>
            <w:tcW w:w="709" w:type="dxa"/>
          </w:tcPr>
          <w:p w:rsidR="00807F9D" w:rsidRPr="000757D6" w:rsidRDefault="00807F9D" w:rsidP="004D5CA8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0757D6">
              <w:rPr>
                <w:rFonts w:ascii="Arial" w:hAnsi="Arial" w:cs="Arial"/>
                <w:sz w:val="20"/>
                <w:szCs w:val="20"/>
                <w:lang w:val="fr-FR" w:eastAsia="fr-FR"/>
              </w:rPr>
              <w:t>2.5.</w:t>
            </w:r>
          </w:p>
        </w:tc>
        <w:tc>
          <w:tcPr>
            <w:tcW w:w="10065" w:type="dxa"/>
          </w:tcPr>
          <w:p w:rsidR="000757D6" w:rsidRDefault="00807F9D" w:rsidP="004D5CA8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0757D6">
              <w:rPr>
                <w:rFonts w:ascii="Arial" w:hAnsi="Arial" w:cs="Arial"/>
                <w:sz w:val="20"/>
                <w:szCs w:val="20"/>
                <w:lang w:val="fr-FR" w:eastAsia="fr-FR"/>
              </w:rPr>
              <w:t>Autres éléments immatériels (le cas échéant) associés à la pratique ou à la transmission de l’élément du PCI</w:t>
            </w:r>
            <w:r w:rsidR="000F3099" w:rsidRPr="000757D6">
              <w:rPr>
                <w:rFonts w:ascii="Arial" w:hAnsi="Arial" w:cs="Arial"/>
                <w:sz w:val="20"/>
                <w:szCs w:val="20"/>
                <w:lang w:val="fr-FR" w:eastAsia="fr-FR"/>
              </w:rPr>
              <w:t> </w:t>
            </w:r>
            <w:r w:rsidR="00D45388" w:rsidRPr="000757D6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: </w:t>
            </w:r>
            <w:r w:rsidR="00190F4C"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 </w:t>
            </w:r>
          </w:p>
          <w:p w:rsidR="00190F4C" w:rsidRPr="000757D6" w:rsidRDefault="00190F4C" w:rsidP="004D5CA8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La t</w:t>
            </w:r>
            <w:r w:rsidR="00D45388"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ransmission </w:t>
            </w:r>
            <w:r w:rsidR="007E0B09"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s’effectue de mère en fille</w:t>
            </w:r>
            <w:r w:rsidR="00E22704"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. </w:t>
            </w:r>
          </w:p>
          <w:p w:rsidR="00660C89" w:rsidRPr="000757D6" w:rsidRDefault="00E22704" w:rsidP="004D5CA8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L’apprentissage</w:t>
            </w:r>
            <w:r w:rsidR="007E0B09"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 </w:t>
            </w:r>
            <w:r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de l’art culinaire occup</w:t>
            </w:r>
            <w:r w:rsidR="009C39A7"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e</w:t>
            </w:r>
            <w:r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 une place de choi</w:t>
            </w:r>
            <w:r w:rsidR="00F70E34"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x dans l’éducation </w:t>
            </w:r>
            <w:r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des filles</w:t>
            </w:r>
          </w:p>
        </w:tc>
      </w:tr>
      <w:tr w:rsidR="00807F9D" w:rsidRPr="00D80BAB" w:rsidTr="00190F4C">
        <w:tc>
          <w:tcPr>
            <w:tcW w:w="709" w:type="dxa"/>
          </w:tcPr>
          <w:p w:rsidR="00807F9D" w:rsidRPr="000757D6" w:rsidRDefault="00807F9D" w:rsidP="004D5CA8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0757D6">
              <w:rPr>
                <w:rFonts w:ascii="Arial" w:hAnsi="Arial" w:cs="Arial"/>
                <w:sz w:val="20"/>
                <w:szCs w:val="20"/>
                <w:lang w:val="fr-FR" w:eastAsia="fr-FR"/>
              </w:rPr>
              <w:t>2.6.</w:t>
            </w:r>
          </w:p>
        </w:tc>
        <w:tc>
          <w:tcPr>
            <w:tcW w:w="10065" w:type="dxa"/>
          </w:tcPr>
          <w:p w:rsidR="000757D6" w:rsidRPr="000757D6" w:rsidRDefault="00807F9D" w:rsidP="004D5CA8">
            <w:pPr>
              <w:pStyle w:val="Sansinterligne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0757D6">
              <w:rPr>
                <w:rFonts w:ascii="Arial" w:hAnsi="Arial" w:cs="Arial"/>
                <w:sz w:val="20"/>
                <w:szCs w:val="20"/>
                <w:lang w:val="fr-FR" w:eastAsia="fr-FR"/>
              </w:rPr>
              <w:t>Pratiques coutumières (le cas échéant) régissant l’accès à l’élément du PCI ou à certains de ses aspects</w:t>
            </w:r>
          </w:p>
          <w:p w:rsidR="00190F4C" w:rsidRPr="000757D6" w:rsidRDefault="00332F1F" w:rsidP="00C4022A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</w:pPr>
            <w:r w:rsidRPr="000757D6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>Signe distinctif de l</w:t>
            </w:r>
            <w:r w:rsidRPr="000757D6"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  <w:t>’</w:t>
            </w:r>
            <w:r w:rsidRPr="000757D6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 xml:space="preserve">hospitalité </w:t>
            </w:r>
            <w:r w:rsidR="00B56607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 xml:space="preserve"> et convivialité </w:t>
            </w:r>
            <w:r w:rsidRPr="000757D6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>de</w:t>
            </w:r>
            <w:r w:rsidR="00190F4C" w:rsidRPr="000757D6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 xml:space="preserve"> la femme et trait de caractère </w:t>
            </w:r>
            <w:r w:rsidRPr="000757D6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>de la femme au foyer</w:t>
            </w:r>
          </w:p>
        </w:tc>
      </w:tr>
      <w:tr w:rsidR="00807F9D" w:rsidRPr="00D80BAB" w:rsidTr="00190F4C">
        <w:tc>
          <w:tcPr>
            <w:tcW w:w="709" w:type="dxa"/>
          </w:tcPr>
          <w:p w:rsidR="00807F9D" w:rsidRPr="000757D6" w:rsidRDefault="00807F9D" w:rsidP="004D5CA8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0757D6">
              <w:rPr>
                <w:rFonts w:ascii="Arial" w:hAnsi="Arial" w:cs="Arial"/>
                <w:sz w:val="20"/>
                <w:szCs w:val="20"/>
                <w:lang w:val="fr-FR" w:eastAsia="fr-FR"/>
              </w:rPr>
              <w:t>2.7.</w:t>
            </w:r>
          </w:p>
        </w:tc>
        <w:tc>
          <w:tcPr>
            <w:tcW w:w="10065" w:type="dxa"/>
          </w:tcPr>
          <w:p w:rsidR="00807F9D" w:rsidRPr="000757D6" w:rsidRDefault="00807F9D" w:rsidP="004D5CA8">
            <w:pPr>
              <w:pStyle w:val="Sansinterligne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0757D6">
              <w:rPr>
                <w:rFonts w:ascii="Arial" w:hAnsi="Arial" w:cs="Arial"/>
                <w:sz w:val="20"/>
                <w:szCs w:val="20"/>
                <w:lang w:val="fr-FR" w:eastAsia="fr-FR"/>
              </w:rPr>
              <w:t>Modes de transmission aux autres membres de la communauté</w:t>
            </w:r>
          </w:p>
          <w:p w:rsidR="00660C89" w:rsidRPr="000757D6" w:rsidRDefault="00332F1F" w:rsidP="004D5CA8">
            <w:pPr>
              <w:pStyle w:val="Sansinterligne"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</w:pPr>
            <w:r w:rsidRPr="000757D6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>Partage des bonnes</w:t>
            </w:r>
            <w:r w:rsidR="00F70E34" w:rsidRPr="000757D6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 xml:space="preserve"> et fréquentes</w:t>
            </w:r>
            <w:r w:rsidRPr="000757D6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 xml:space="preserve"> pratiques</w:t>
            </w:r>
          </w:p>
          <w:p w:rsidR="00190F4C" w:rsidRPr="000757D6" w:rsidRDefault="00190F4C" w:rsidP="004D5CA8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</w:p>
        </w:tc>
      </w:tr>
      <w:tr w:rsidR="00807F9D" w:rsidRPr="00D80BAB" w:rsidTr="00190F4C">
        <w:tc>
          <w:tcPr>
            <w:tcW w:w="709" w:type="dxa"/>
          </w:tcPr>
          <w:p w:rsidR="00807F9D" w:rsidRPr="000757D6" w:rsidRDefault="00807F9D" w:rsidP="004D5CA8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0757D6">
              <w:rPr>
                <w:rFonts w:ascii="Arial" w:hAnsi="Arial" w:cs="Arial"/>
                <w:sz w:val="20"/>
                <w:szCs w:val="20"/>
                <w:lang w:val="fr-FR" w:eastAsia="fr-FR"/>
              </w:rPr>
              <w:t>2.8.</w:t>
            </w:r>
          </w:p>
        </w:tc>
        <w:tc>
          <w:tcPr>
            <w:tcW w:w="10065" w:type="dxa"/>
          </w:tcPr>
          <w:p w:rsidR="00807F9D" w:rsidRPr="000757D6" w:rsidRDefault="00807F9D" w:rsidP="004D5CA8">
            <w:pPr>
              <w:pStyle w:val="Sansinterligne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0757D6">
              <w:rPr>
                <w:rFonts w:ascii="Arial" w:hAnsi="Arial" w:cs="Arial"/>
                <w:sz w:val="20"/>
                <w:szCs w:val="20"/>
                <w:lang w:val="fr-FR" w:eastAsia="fr-FR"/>
              </w:rPr>
              <w:t>Organisations concernées (organisations communautaires, ONG ou autres, le cas échéant)</w:t>
            </w:r>
          </w:p>
          <w:p w:rsidR="000757D6" w:rsidRDefault="000757D6" w:rsidP="004D5CA8">
            <w:pPr>
              <w:pStyle w:val="Sansinterligne"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</w:pPr>
          </w:p>
          <w:p w:rsidR="00660C89" w:rsidRPr="000757D6" w:rsidRDefault="00D95515" w:rsidP="00C4022A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</w:pPr>
            <w:r w:rsidRPr="000757D6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>Associations religieuses, classe</w:t>
            </w:r>
            <w:r w:rsidR="00F70E34" w:rsidRPr="000757D6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>s</w:t>
            </w:r>
            <w:r w:rsidRPr="000757D6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 xml:space="preserve"> d</w:t>
            </w:r>
            <w:r w:rsidRPr="000757D6"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  <w:t>’</w:t>
            </w:r>
            <w:r w:rsidR="00F70E34" w:rsidRPr="000757D6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>âges</w:t>
            </w:r>
            <w:r w:rsidRPr="000757D6"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  <w:t xml:space="preserve">, </w:t>
            </w:r>
            <w:r w:rsidR="00FF6087" w:rsidRPr="000757D6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>certain</w:t>
            </w:r>
            <w:r w:rsidR="00190F4C" w:rsidRPr="000757D6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 xml:space="preserve">s </w:t>
            </w:r>
            <w:r w:rsidRPr="000757D6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>castes</w:t>
            </w:r>
          </w:p>
          <w:p w:rsidR="00190F4C" w:rsidRPr="000757D6" w:rsidRDefault="00190F4C" w:rsidP="004D5CA8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</w:p>
        </w:tc>
      </w:tr>
      <w:tr w:rsidR="00807F9D" w:rsidRPr="00D80BAB" w:rsidTr="00190F4C">
        <w:tc>
          <w:tcPr>
            <w:tcW w:w="709" w:type="dxa"/>
            <w:shd w:val="clear" w:color="auto" w:fill="D0CECE" w:themeFill="background2" w:themeFillShade="E6"/>
          </w:tcPr>
          <w:p w:rsidR="00807F9D" w:rsidRPr="000757D6" w:rsidRDefault="00807F9D" w:rsidP="004D5CA8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3.</w:t>
            </w:r>
          </w:p>
        </w:tc>
        <w:tc>
          <w:tcPr>
            <w:tcW w:w="10065" w:type="dxa"/>
            <w:shd w:val="clear" w:color="auto" w:fill="D0CECE" w:themeFill="background2" w:themeFillShade="E6"/>
          </w:tcPr>
          <w:p w:rsidR="00807F9D" w:rsidRPr="000757D6" w:rsidRDefault="00807F9D" w:rsidP="004D5CA8">
            <w:pPr>
              <w:pStyle w:val="Sansinterligne"/>
              <w:rPr>
                <w:rFonts w:ascii="Arial" w:hAnsi="Arial" w:cs="Arial"/>
                <w:b/>
                <w:bCs/>
                <w:caps/>
                <w:sz w:val="20"/>
                <w:szCs w:val="20"/>
                <w:lang w:val="fr-FR" w:eastAsia="fr-FR"/>
              </w:rPr>
            </w:pPr>
            <w:r w:rsidRPr="000757D6">
              <w:rPr>
                <w:rFonts w:ascii="Arial" w:hAnsi="Arial" w:cs="Arial"/>
                <w:b/>
                <w:bCs/>
                <w:caps/>
                <w:sz w:val="20"/>
                <w:szCs w:val="20"/>
                <w:lang w:val="fr-FR" w:eastAsia="fr-FR"/>
              </w:rPr>
              <w:t>État de l’élément du PCI : viabilité (voir commentaires ci-après)</w:t>
            </w:r>
          </w:p>
        </w:tc>
      </w:tr>
      <w:tr w:rsidR="00807F9D" w:rsidRPr="00D80BAB" w:rsidTr="00190F4C">
        <w:tc>
          <w:tcPr>
            <w:tcW w:w="709" w:type="dxa"/>
          </w:tcPr>
          <w:p w:rsidR="00807F9D" w:rsidRPr="000757D6" w:rsidRDefault="00807F9D" w:rsidP="004D5CA8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0757D6">
              <w:rPr>
                <w:rFonts w:ascii="Arial" w:hAnsi="Arial" w:cs="Arial"/>
                <w:sz w:val="20"/>
                <w:szCs w:val="20"/>
                <w:lang w:val="fr-FR" w:eastAsia="fr-FR"/>
              </w:rPr>
              <w:t>3.1.</w:t>
            </w:r>
          </w:p>
        </w:tc>
        <w:tc>
          <w:tcPr>
            <w:tcW w:w="10065" w:type="dxa"/>
          </w:tcPr>
          <w:p w:rsidR="000757D6" w:rsidRPr="000757D6" w:rsidRDefault="00807F9D" w:rsidP="004D5CA8">
            <w:pPr>
              <w:pStyle w:val="Sansinterligne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0757D6">
              <w:rPr>
                <w:rFonts w:ascii="Arial" w:hAnsi="Arial" w:cs="Arial"/>
                <w:sz w:val="20"/>
                <w:szCs w:val="20"/>
                <w:lang w:val="fr-FR" w:eastAsia="fr-FR"/>
              </w:rPr>
              <w:t>Menaces éventuelles sur la pratique permanente de l’élément dans la (les) communauté(s) concernée(s)</w:t>
            </w:r>
          </w:p>
          <w:p w:rsidR="00C4022A" w:rsidRPr="00C4022A" w:rsidRDefault="00660C89" w:rsidP="000757D6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raréfaction du poisson</w:t>
            </w:r>
            <w:r w:rsidR="009E5B1D"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, </w:t>
            </w:r>
            <w:r w:rsidR="00D95515"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baisse de la qualité des légumes</w:t>
            </w:r>
            <w:r w:rsidR="00C4022A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 </w:t>
            </w:r>
            <w:r w:rsidR="00C4022A" w:rsidRPr="002C3C3E">
              <w:rPr>
                <w:rFonts w:ascii="Arial" w:hAnsi="Arial" w:cs="Arial"/>
                <w:b/>
                <w:sz w:val="20"/>
                <w:lang w:val="fr-FR"/>
              </w:rPr>
              <w:t>(trop d’engrais)</w:t>
            </w:r>
          </w:p>
          <w:p w:rsidR="00190F4C" w:rsidRPr="000757D6" w:rsidRDefault="00F70E34" w:rsidP="000757D6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 usage abusif des bouillons,</w:t>
            </w:r>
            <w:r w:rsidR="00E938AC"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 modernité, contrainte de temps</w:t>
            </w:r>
            <w:r w:rsidR="00190F4C"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 </w:t>
            </w:r>
            <w:r w:rsidR="00190F4C" w:rsidRPr="000757D6">
              <w:rPr>
                <w:rFonts w:ascii="Arial" w:hAnsi="Arial" w:cs="Arial"/>
                <w:b/>
                <w:sz w:val="20"/>
                <w:szCs w:val="20"/>
                <w:u w:val="single"/>
                <w:lang w:val="fr-FR" w:eastAsia="fr-FR"/>
              </w:rPr>
              <w:t>de préparation</w:t>
            </w:r>
            <w:r w:rsidR="00E938AC"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, …</w:t>
            </w:r>
          </w:p>
        </w:tc>
      </w:tr>
      <w:tr w:rsidR="00807F9D" w:rsidRPr="000757D6" w:rsidTr="00190F4C">
        <w:tc>
          <w:tcPr>
            <w:tcW w:w="709" w:type="dxa"/>
          </w:tcPr>
          <w:p w:rsidR="00807F9D" w:rsidRPr="000757D6" w:rsidRDefault="00807F9D" w:rsidP="004D5CA8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0757D6">
              <w:rPr>
                <w:rFonts w:ascii="Arial" w:hAnsi="Arial" w:cs="Arial"/>
                <w:sz w:val="20"/>
                <w:szCs w:val="20"/>
                <w:lang w:val="fr-FR" w:eastAsia="fr-FR"/>
              </w:rPr>
              <w:t>3.2.</w:t>
            </w:r>
          </w:p>
        </w:tc>
        <w:tc>
          <w:tcPr>
            <w:tcW w:w="10065" w:type="dxa"/>
          </w:tcPr>
          <w:p w:rsidR="00807F9D" w:rsidRPr="000757D6" w:rsidRDefault="00807F9D" w:rsidP="004D5CA8">
            <w:pPr>
              <w:pStyle w:val="Sansinterligne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0757D6">
              <w:rPr>
                <w:rFonts w:ascii="Arial" w:hAnsi="Arial" w:cs="Arial"/>
                <w:sz w:val="20"/>
                <w:szCs w:val="20"/>
                <w:lang w:val="fr-FR" w:eastAsia="fr-FR"/>
              </w:rPr>
              <w:t>Menaces éventuelles sur la transmission de l’élément dans la (les) communauté(s) concernée(s)</w:t>
            </w:r>
          </w:p>
          <w:p w:rsidR="00660C89" w:rsidRPr="000757D6" w:rsidRDefault="00660C89" w:rsidP="004D5CA8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Aucune</w:t>
            </w:r>
            <w:r w:rsidR="00161324"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 </w:t>
            </w:r>
          </w:p>
        </w:tc>
      </w:tr>
      <w:tr w:rsidR="00807F9D" w:rsidRPr="00D80BAB" w:rsidTr="00190F4C">
        <w:tc>
          <w:tcPr>
            <w:tcW w:w="709" w:type="dxa"/>
          </w:tcPr>
          <w:p w:rsidR="00807F9D" w:rsidRPr="000757D6" w:rsidRDefault="00807F9D" w:rsidP="004D5CA8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0757D6">
              <w:rPr>
                <w:rFonts w:ascii="Arial" w:hAnsi="Arial" w:cs="Arial"/>
                <w:sz w:val="20"/>
                <w:szCs w:val="20"/>
                <w:lang w:val="fr-FR" w:eastAsia="fr-FR"/>
              </w:rPr>
              <w:t>3.3.</w:t>
            </w:r>
          </w:p>
        </w:tc>
        <w:tc>
          <w:tcPr>
            <w:tcW w:w="10065" w:type="dxa"/>
          </w:tcPr>
          <w:p w:rsidR="00807F9D" w:rsidRPr="000757D6" w:rsidRDefault="00807F9D" w:rsidP="004D5CA8">
            <w:pPr>
              <w:pStyle w:val="Sansinterligne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0757D6">
              <w:rPr>
                <w:rFonts w:ascii="Arial" w:hAnsi="Arial" w:cs="Arial"/>
                <w:sz w:val="20"/>
                <w:szCs w:val="20"/>
                <w:lang w:val="fr-FR" w:eastAsia="fr-FR"/>
              </w:rPr>
              <w:t>Menaces pesant sur un accès durable aux éléments matériels et aux ressources (le cas échéant) associés à l’élément du PCI</w:t>
            </w:r>
          </w:p>
          <w:p w:rsidR="00190F4C" w:rsidRPr="000757D6" w:rsidRDefault="0026303D" w:rsidP="00190F4C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D’autres conséquences sont prévisibles avec l’</w:t>
            </w:r>
            <w:r w:rsidR="005C1174"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exploitation</w:t>
            </w:r>
            <w:r w:rsidR="00E938AC"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 </w:t>
            </w:r>
            <w:r w:rsidR="000F3099"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des ressources </w:t>
            </w:r>
            <w:r w:rsidR="005C1174"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gazières</w:t>
            </w:r>
            <w:r w:rsidR="000F3099"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 et </w:t>
            </w:r>
            <w:r w:rsidR="005C1174"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pétrolières</w:t>
            </w:r>
            <w:r w:rsidR="00E938AC"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 au large de Saint-Louis,</w:t>
            </w:r>
            <w:r w:rsidR="00AC7B98"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 </w:t>
            </w:r>
          </w:p>
          <w:p w:rsidR="00190F4C" w:rsidRPr="000757D6" w:rsidRDefault="00AC7B98" w:rsidP="00190F4C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le repos biologique pas souvent observé</w:t>
            </w:r>
            <w:r w:rsidR="00E938AC"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, </w:t>
            </w:r>
          </w:p>
          <w:p w:rsidR="00190F4C" w:rsidRPr="000757D6" w:rsidRDefault="00E938AC" w:rsidP="00190F4C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salinisation des </w:t>
            </w:r>
            <w:r w:rsidR="00C4022A"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terres</w:t>
            </w:r>
            <w:r w:rsidR="00C4022A" w:rsidRPr="00C4022A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 ( </w:t>
            </w:r>
            <w:r w:rsidR="00C4022A" w:rsidRPr="00C4022A">
              <w:rPr>
                <w:rFonts w:ascii="Arial" w:hAnsi="Arial" w:cs="Arial"/>
                <w:b/>
                <w:color w:val="000000"/>
                <w:sz w:val="20"/>
                <w:szCs w:val="20"/>
              </w:rPr>
              <w:t>maraîchage)</w:t>
            </w:r>
            <w:r w:rsidR="00C4022A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 </w:t>
            </w:r>
            <w:r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, </w:t>
            </w:r>
          </w:p>
          <w:p w:rsidR="00190F4C" w:rsidRPr="000757D6" w:rsidRDefault="00E938AC" w:rsidP="00190F4C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l’utilisation abusive des pesticides et des insecticides, </w:t>
            </w:r>
          </w:p>
          <w:p w:rsidR="00190F4C" w:rsidRPr="000757D6" w:rsidRDefault="00190F4C" w:rsidP="00190F4C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la </w:t>
            </w:r>
            <w:r w:rsidR="000A42C8"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détérioration de l’en</w:t>
            </w:r>
            <w:r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vironnement</w:t>
            </w:r>
          </w:p>
          <w:p w:rsidR="000F3099" w:rsidRPr="000757D6" w:rsidRDefault="00190F4C" w:rsidP="00190F4C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la</w:t>
            </w:r>
            <w:r w:rsidR="000A42C8"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 pollution marine entre autre</w:t>
            </w:r>
            <w:r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s</w:t>
            </w:r>
            <w:r w:rsidR="000A42C8"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 </w:t>
            </w:r>
            <w:r w:rsidR="00E938AC"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…</w:t>
            </w:r>
          </w:p>
          <w:p w:rsidR="00660C89" w:rsidRPr="000757D6" w:rsidRDefault="00660C89" w:rsidP="00A17095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</w:p>
        </w:tc>
      </w:tr>
      <w:tr w:rsidR="00807F9D" w:rsidRPr="00D80BAB" w:rsidTr="00190F4C">
        <w:tc>
          <w:tcPr>
            <w:tcW w:w="709" w:type="dxa"/>
          </w:tcPr>
          <w:p w:rsidR="00807F9D" w:rsidRPr="000757D6" w:rsidRDefault="00807F9D" w:rsidP="004D5CA8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0757D6">
              <w:rPr>
                <w:rFonts w:ascii="Arial" w:hAnsi="Arial" w:cs="Arial"/>
                <w:sz w:val="20"/>
                <w:szCs w:val="20"/>
                <w:lang w:val="fr-FR" w:eastAsia="fr-FR"/>
              </w:rPr>
              <w:t>3.4.</w:t>
            </w:r>
          </w:p>
        </w:tc>
        <w:tc>
          <w:tcPr>
            <w:tcW w:w="10065" w:type="dxa"/>
          </w:tcPr>
          <w:p w:rsidR="00807F9D" w:rsidRPr="000757D6" w:rsidRDefault="00807F9D" w:rsidP="004D5CA8">
            <w:pPr>
              <w:pStyle w:val="Sansinterligne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0757D6">
              <w:rPr>
                <w:rFonts w:ascii="Arial" w:hAnsi="Arial" w:cs="Arial"/>
                <w:sz w:val="20"/>
                <w:szCs w:val="20"/>
                <w:lang w:val="fr-FR" w:eastAsia="fr-FR"/>
              </w:rPr>
              <w:t>Viabilité des autres éléments du patrimoine immatériel (le cas échéant) associés à l’élément du PCI</w:t>
            </w:r>
          </w:p>
          <w:p w:rsidR="00190F4C" w:rsidRPr="000757D6" w:rsidRDefault="0041422F" w:rsidP="00190F4C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Fonction sociale, </w:t>
            </w:r>
            <w:r w:rsidR="00852389"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socialisante</w:t>
            </w:r>
            <w:r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 et éducationnelle </w:t>
            </w:r>
            <w:r w:rsidR="00F85CD0"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autour </w:t>
            </w:r>
            <w:r w:rsidR="00852389"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du grand bol familial</w:t>
            </w:r>
            <w:r w:rsidR="00A871ED"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,</w:t>
            </w:r>
          </w:p>
          <w:p w:rsidR="00852389" w:rsidRPr="000757D6" w:rsidRDefault="00190F4C" w:rsidP="00190F4C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F</w:t>
            </w:r>
            <w:r w:rsidR="00852389"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acteur de cohésion et de convivialité.</w:t>
            </w:r>
          </w:p>
          <w:p w:rsidR="00660C89" w:rsidRPr="000757D6" w:rsidRDefault="00660C89" w:rsidP="004D5CA8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</w:p>
        </w:tc>
      </w:tr>
      <w:tr w:rsidR="00807F9D" w:rsidRPr="000757D6" w:rsidTr="00190F4C">
        <w:tc>
          <w:tcPr>
            <w:tcW w:w="709" w:type="dxa"/>
          </w:tcPr>
          <w:p w:rsidR="00807F9D" w:rsidRPr="000757D6" w:rsidRDefault="00807F9D" w:rsidP="004D5CA8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0757D6">
              <w:rPr>
                <w:rFonts w:ascii="Arial" w:hAnsi="Arial" w:cs="Arial"/>
                <w:sz w:val="20"/>
                <w:szCs w:val="20"/>
                <w:lang w:val="fr-FR" w:eastAsia="fr-FR"/>
              </w:rPr>
              <w:t>3.5.</w:t>
            </w:r>
          </w:p>
        </w:tc>
        <w:tc>
          <w:tcPr>
            <w:tcW w:w="10065" w:type="dxa"/>
          </w:tcPr>
          <w:p w:rsidR="00807F9D" w:rsidRPr="000757D6" w:rsidRDefault="00807F9D" w:rsidP="004D5CA8">
            <w:pPr>
              <w:pStyle w:val="Sansinterligne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0757D6">
              <w:rPr>
                <w:rFonts w:ascii="Arial" w:hAnsi="Arial" w:cs="Arial"/>
                <w:sz w:val="20"/>
                <w:szCs w:val="20"/>
                <w:lang w:val="fr-FR" w:eastAsia="fr-FR"/>
              </w:rPr>
              <w:t>Mesures de sauvegarde ou autres (le cas échéant) adoptées pour faire face à ces menaces et encourager la pratique et la transmission de l’élément du PCI à l’avenir</w:t>
            </w:r>
          </w:p>
          <w:p w:rsidR="00190F4C" w:rsidRPr="000757D6" w:rsidRDefault="00852389" w:rsidP="00190F4C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Création d’aires marines protégées, </w:t>
            </w:r>
          </w:p>
          <w:p w:rsidR="00660C89" w:rsidRDefault="00190F4C" w:rsidP="00190F4C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Promotion d’</w:t>
            </w:r>
            <w:r w:rsidR="00852389"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une agriculture </w:t>
            </w:r>
            <w:r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et aquaculture </w:t>
            </w:r>
            <w:r w:rsidR="00852389"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à orientation biologique</w:t>
            </w:r>
            <w:r w:rsidR="000A42C8"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..</w:t>
            </w:r>
            <w:r w:rsidR="00852389"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.</w:t>
            </w:r>
          </w:p>
          <w:p w:rsidR="00C4022A" w:rsidRPr="00C4022A" w:rsidRDefault="00C4022A" w:rsidP="00190F4C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C4022A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Concours d’art culinaire...</w:t>
            </w:r>
          </w:p>
          <w:p w:rsidR="00660C89" w:rsidRPr="000757D6" w:rsidRDefault="00660C89" w:rsidP="000F3099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</w:p>
        </w:tc>
      </w:tr>
    </w:tbl>
    <w:p w:rsidR="00125034" w:rsidRDefault="00125034">
      <w:pPr>
        <w:rPr>
          <w:lang w:val="fr-FR"/>
        </w:rPr>
      </w:pPr>
    </w:p>
    <w:tbl>
      <w:tblPr>
        <w:tblStyle w:val="Grilledutableau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0065"/>
      </w:tblGrid>
      <w:tr w:rsidR="009D54E5" w:rsidRPr="00D80BAB" w:rsidTr="000D3D3A">
        <w:tc>
          <w:tcPr>
            <w:tcW w:w="709" w:type="dxa"/>
            <w:shd w:val="clear" w:color="auto" w:fill="D0CECE" w:themeFill="background2" w:themeFillShade="E6"/>
          </w:tcPr>
          <w:p w:rsidR="009D54E5" w:rsidRPr="000757D6" w:rsidRDefault="009D54E5" w:rsidP="000D3D3A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4.</w:t>
            </w:r>
          </w:p>
        </w:tc>
        <w:tc>
          <w:tcPr>
            <w:tcW w:w="10065" w:type="dxa"/>
            <w:shd w:val="clear" w:color="auto" w:fill="D0CECE" w:themeFill="background2" w:themeFillShade="E6"/>
          </w:tcPr>
          <w:p w:rsidR="009D54E5" w:rsidRPr="000757D6" w:rsidRDefault="009D54E5" w:rsidP="000D3D3A">
            <w:pPr>
              <w:pStyle w:val="Sansinterligne"/>
              <w:rPr>
                <w:rFonts w:ascii="Arial" w:hAnsi="Arial" w:cs="Arial"/>
                <w:b/>
                <w:bCs/>
                <w:caps/>
                <w:sz w:val="20"/>
                <w:szCs w:val="20"/>
                <w:lang w:val="fr-FR" w:eastAsia="fr-FR"/>
              </w:rPr>
            </w:pPr>
            <w:r w:rsidRPr="000757D6">
              <w:rPr>
                <w:rFonts w:ascii="Arial" w:hAnsi="Arial" w:cs="Arial"/>
                <w:b/>
                <w:bCs/>
                <w:caps/>
                <w:sz w:val="20"/>
                <w:szCs w:val="20"/>
                <w:lang w:val="fr-FR" w:eastAsia="fr-FR"/>
              </w:rPr>
              <w:t>ACCES RESTREINT AUX DONNEES ET AUTORISATIONS</w:t>
            </w:r>
          </w:p>
        </w:tc>
      </w:tr>
      <w:tr w:rsidR="009D54E5" w:rsidRPr="000757D6" w:rsidTr="000D3D3A">
        <w:tc>
          <w:tcPr>
            <w:tcW w:w="709" w:type="dxa"/>
          </w:tcPr>
          <w:p w:rsidR="009D54E5" w:rsidRPr="000757D6" w:rsidRDefault="009D54E5" w:rsidP="000D3D3A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0757D6">
              <w:rPr>
                <w:rFonts w:ascii="Arial" w:hAnsi="Arial" w:cs="Arial"/>
                <w:sz w:val="20"/>
                <w:szCs w:val="20"/>
                <w:lang w:val="fr-FR" w:eastAsia="fr-FR"/>
              </w:rPr>
              <w:t>4.1.</w:t>
            </w:r>
          </w:p>
        </w:tc>
        <w:tc>
          <w:tcPr>
            <w:tcW w:w="10065" w:type="dxa"/>
          </w:tcPr>
          <w:p w:rsidR="009D54E5" w:rsidRPr="000757D6" w:rsidRDefault="009D54E5" w:rsidP="000D3D3A">
            <w:pPr>
              <w:pStyle w:val="Sansinterligne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0757D6">
              <w:rPr>
                <w:rFonts w:ascii="Arial" w:hAnsi="Arial" w:cs="Arial"/>
                <w:sz w:val="20"/>
                <w:szCs w:val="20"/>
                <w:lang w:val="fr-FR" w:eastAsia="fr-FR"/>
              </w:rPr>
              <w:t>Consentement et participation de la (des) communauté(s) concernée(s) au recueil des données</w:t>
            </w:r>
          </w:p>
          <w:p w:rsidR="009D54E5" w:rsidRPr="000757D6" w:rsidRDefault="009D54E5" w:rsidP="000D3D3A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0757D6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Acquis </w:t>
            </w:r>
          </w:p>
        </w:tc>
      </w:tr>
      <w:tr w:rsidR="009D54E5" w:rsidRPr="000757D6" w:rsidTr="000D3D3A">
        <w:tc>
          <w:tcPr>
            <w:tcW w:w="709" w:type="dxa"/>
          </w:tcPr>
          <w:p w:rsidR="009D54E5" w:rsidRPr="000757D6" w:rsidRDefault="009D54E5" w:rsidP="000D3D3A">
            <w:pPr>
              <w:pStyle w:val="Sansinterligne"/>
              <w:rPr>
                <w:b/>
                <w:bCs/>
                <w:caps/>
                <w:kern w:val="28"/>
              </w:rPr>
            </w:pPr>
            <w:r w:rsidRPr="000757D6">
              <w:lastRenderedPageBreak/>
              <w:t>4.2.</w:t>
            </w:r>
          </w:p>
        </w:tc>
        <w:tc>
          <w:tcPr>
            <w:tcW w:w="10065" w:type="dxa"/>
          </w:tcPr>
          <w:p w:rsidR="009D54E5" w:rsidRPr="000757D6" w:rsidRDefault="009D54E5" w:rsidP="000D3D3A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757D6">
              <w:rPr>
                <w:rFonts w:ascii="Arial" w:hAnsi="Arial" w:cs="Arial"/>
                <w:sz w:val="20"/>
                <w:szCs w:val="20"/>
                <w:lang w:val="fr-FR"/>
              </w:rPr>
              <w:t>Restrictions et autorisations concernant les données</w:t>
            </w:r>
          </w:p>
          <w:p w:rsidR="009D54E5" w:rsidRPr="000757D6" w:rsidRDefault="009D54E5" w:rsidP="000D3D3A">
            <w:pPr>
              <w:pStyle w:val="Sansinterligne"/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</w:pPr>
            <w:r w:rsidRPr="000757D6">
              <w:rPr>
                <w:rFonts w:ascii="Arial" w:hAnsi="Arial" w:cs="Arial"/>
                <w:b/>
                <w:bCs/>
                <w:kern w:val="28"/>
                <w:sz w:val="20"/>
                <w:szCs w:val="20"/>
              </w:rPr>
              <w:t>Aucune</w:t>
            </w:r>
          </w:p>
          <w:p w:rsidR="009D54E5" w:rsidRPr="000757D6" w:rsidRDefault="009D54E5" w:rsidP="000D3D3A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</w:rPr>
            </w:pPr>
          </w:p>
        </w:tc>
      </w:tr>
      <w:tr w:rsidR="009D54E5" w:rsidRPr="00D80BAB" w:rsidTr="000D3D3A">
        <w:tc>
          <w:tcPr>
            <w:tcW w:w="709" w:type="dxa"/>
          </w:tcPr>
          <w:p w:rsidR="009D54E5" w:rsidRPr="000757D6" w:rsidRDefault="009D54E5" w:rsidP="000D3D3A">
            <w:pPr>
              <w:pStyle w:val="Sansinterligne"/>
              <w:rPr>
                <w:b/>
                <w:bCs/>
                <w:caps/>
                <w:kern w:val="28"/>
              </w:rPr>
            </w:pPr>
            <w:r w:rsidRPr="000757D6">
              <w:t>4.3.</w:t>
            </w:r>
          </w:p>
        </w:tc>
        <w:tc>
          <w:tcPr>
            <w:tcW w:w="10065" w:type="dxa"/>
          </w:tcPr>
          <w:p w:rsidR="009D54E5" w:rsidRPr="000757D6" w:rsidRDefault="009D54E5" w:rsidP="000D3D3A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757D6">
              <w:rPr>
                <w:rFonts w:ascii="Arial" w:hAnsi="Arial" w:cs="Arial"/>
                <w:sz w:val="20"/>
                <w:szCs w:val="20"/>
                <w:lang w:val="fr-FR"/>
              </w:rPr>
              <w:t xml:space="preserve">Personne(s) ressource(s) : nom et statut </w:t>
            </w:r>
          </w:p>
          <w:p w:rsidR="009D54E5" w:rsidRPr="000757D6" w:rsidRDefault="009D54E5" w:rsidP="000D3D3A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/>
              </w:rPr>
            </w:pPr>
            <w:r w:rsidRPr="000757D6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/>
              </w:rPr>
              <w:t xml:space="preserve"> Amy Cole </w:t>
            </w:r>
            <w:r w:rsidRPr="000757D6"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/>
              </w:rPr>
              <w:t>seye (</w:t>
            </w:r>
            <w:r w:rsidRPr="000757D6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/>
              </w:rPr>
              <w:t>75 ans</w:t>
            </w:r>
            <w:r w:rsidRPr="000757D6"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/>
              </w:rPr>
              <w:t xml:space="preserve">), </w:t>
            </w:r>
            <w:r w:rsidRPr="000757D6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/>
              </w:rPr>
              <w:t xml:space="preserve">Marie Madeleine </w:t>
            </w:r>
            <w:r w:rsidRPr="000757D6"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/>
              </w:rPr>
              <w:t>diallo (</w:t>
            </w:r>
            <w:r w:rsidRPr="000757D6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/>
              </w:rPr>
              <w:t>âge</w:t>
            </w:r>
            <w:r w:rsidRPr="000757D6"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/>
              </w:rPr>
              <w:t>), A</w:t>
            </w:r>
            <w:r w:rsidRPr="000757D6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/>
              </w:rPr>
              <w:t>minata</w:t>
            </w:r>
            <w:r w:rsidRPr="000757D6"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/>
              </w:rPr>
              <w:t xml:space="preserve"> Diop (</w:t>
            </w:r>
            <w:r w:rsidRPr="000757D6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/>
              </w:rPr>
              <w:t>80 ans</w:t>
            </w:r>
            <w:r w:rsidRPr="000757D6"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/>
              </w:rPr>
              <w:t>)</w:t>
            </w:r>
          </w:p>
        </w:tc>
      </w:tr>
      <w:tr w:rsidR="009D54E5" w:rsidRPr="000757D6" w:rsidTr="000D3D3A">
        <w:tc>
          <w:tcPr>
            <w:tcW w:w="709" w:type="dxa"/>
          </w:tcPr>
          <w:p w:rsidR="009D54E5" w:rsidRPr="000757D6" w:rsidRDefault="009D54E5" w:rsidP="000D3D3A">
            <w:pPr>
              <w:pStyle w:val="Sansinterligne"/>
              <w:rPr>
                <w:b/>
                <w:bCs/>
                <w:caps/>
                <w:kern w:val="28"/>
              </w:rPr>
            </w:pPr>
            <w:r w:rsidRPr="000757D6">
              <w:t>4.4.</w:t>
            </w:r>
          </w:p>
        </w:tc>
        <w:tc>
          <w:tcPr>
            <w:tcW w:w="10065" w:type="dxa"/>
          </w:tcPr>
          <w:p w:rsidR="009D54E5" w:rsidRPr="000757D6" w:rsidRDefault="009D54E5" w:rsidP="000D3D3A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757D6">
              <w:rPr>
                <w:rFonts w:ascii="Arial" w:hAnsi="Arial" w:cs="Arial"/>
                <w:sz w:val="20"/>
                <w:szCs w:val="20"/>
                <w:lang w:val="fr-FR"/>
              </w:rPr>
              <w:t>Date(s) et lieu(x) de recueil des données</w:t>
            </w:r>
          </w:p>
          <w:p w:rsidR="009D54E5" w:rsidRPr="000757D6" w:rsidRDefault="009D54E5" w:rsidP="000D3D3A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/>
              </w:rPr>
            </w:pPr>
            <w:r w:rsidRPr="000757D6"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/>
              </w:rPr>
              <w:t xml:space="preserve"> 28 </w:t>
            </w:r>
            <w:r w:rsidRPr="000757D6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/>
              </w:rPr>
              <w:t xml:space="preserve">avril </w:t>
            </w:r>
            <w:r w:rsidRPr="000757D6"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/>
              </w:rPr>
              <w:t>2019</w:t>
            </w:r>
          </w:p>
        </w:tc>
      </w:tr>
      <w:tr w:rsidR="009D54E5" w:rsidRPr="00D80BAB" w:rsidTr="000D3D3A">
        <w:tc>
          <w:tcPr>
            <w:tcW w:w="709" w:type="dxa"/>
            <w:shd w:val="clear" w:color="auto" w:fill="D0CECE" w:themeFill="background2" w:themeFillShade="E6"/>
          </w:tcPr>
          <w:p w:rsidR="009D54E5" w:rsidRPr="000757D6" w:rsidRDefault="009D54E5" w:rsidP="000D3D3A">
            <w:pPr>
              <w:pStyle w:val="Sansinterligne"/>
              <w:rPr>
                <w:b/>
              </w:rPr>
            </w:pPr>
            <w:r w:rsidRPr="000757D6">
              <w:rPr>
                <w:b/>
              </w:rPr>
              <w:t>5.</w:t>
            </w:r>
          </w:p>
        </w:tc>
        <w:tc>
          <w:tcPr>
            <w:tcW w:w="10065" w:type="dxa"/>
            <w:shd w:val="clear" w:color="auto" w:fill="D0CECE" w:themeFill="background2" w:themeFillShade="E6"/>
          </w:tcPr>
          <w:p w:rsidR="009D54E5" w:rsidRPr="000757D6" w:rsidRDefault="009D54E5" w:rsidP="000D3D3A">
            <w:pPr>
              <w:pStyle w:val="Sansinterligne"/>
              <w:rPr>
                <w:rFonts w:ascii="Arial" w:hAnsi="Arial" w:cs="Arial"/>
                <w:b/>
                <w:bCs/>
                <w:caps/>
                <w:sz w:val="20"/>
                <w:szCs w:val="20"/>
                <w:lang w:val="fr-FR"/>
              </w:rPr>
            </w:pPr>
            <w:r w:rsidRPr="000757D6">
              <w:rPr>
                <w:rFonts w:ascii="Arial" w:hAnsi="Arial" w:cs="Arial"/>
                <w:b/>
                <w:bCs/>
                <w:caps/>
                <w:sz w:val="20"/>
                <w:szCs w:val="20"/>
                <w:lang w:val="fr-FR"/>
              </w:rPr>
              <w:t>Références relatives à l’élément du PCI (le cas échéant)</w:t>
            </w:r>
          </w:p>
        </w:tc>
      </w:tr>
      <w:tr w:rsidR="009D54E5" w:rsidRPr="000757D6" w:rsidTr="000D3D3A">
        <w:tc>
          <w:tcPr>
            <w:tcW w:w="709" w:type="dxa"/>
          </w:tcPr>
          <w:p w:rsidR="009D54E5" w:rsidRPr="000757D6" w:rsidRDefault="009D54E5" w:rsidP="000D3D3A">
            <w:pPr>
              <w:pStyle w:val="Sansinterligne"/>
              <w:rPr>
                <w:b/>
                <w:bCs/>
                <w:caps/>
                <w:kern w:val="28"/>
              </w:rPr>
            </w:pPr>
            <w:r w:rsidRPr="000757D6">
              <w:t>5.1.</w:t>
            </w:r>
          </w:p>
        </w:tc>
        <w:tc>
          <w:tcPr>
            <w:tcW w:w="10065" w:type="dxa"/>
          </w:tcPr>
          <w:p w:rsidR="009D54E5" w:rsidRPr="000757D6" w:rsidRDefault="009D54E5" w:rsidP="000D3D3A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757D6">
              <w:rPr>
                <w:rFonts w:ascii="Arial" w:hAnsi="Arial" w:cs="Arial"/>
                <w:sz w:val="20"/>
                <w:szCs w:val="20"/>
                <w:lang w:val="fr-FR"/>
              </w:rPr>
              <w:t>Monographies / Manuscrits conservés dans des bibliothèques, librairies ou détenus par des particuliers</w:t>
            </w:r>
          </w:p>
          <w:p w:rsidR="009D54E5" w:rsidRPr="000757D6" w:rsidRDefault="009D54E5" w:rsidP="000D3D3A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757D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Chanson Mool de youssou ndour </w:t>
            </w:r>
          </w:p>
          <w:p w:rsidR="009D54E5" w:rsidRPr="000757D6" w:rsidRDefault="009D54E5" w:rsidP="000D3D3A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757D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Chanson d’Edouard </w:t>
            </w:r>
            <w:r w:rsidR="00B04D99" w:rsidRPr="000757D6">
              <w:rPr>
                <w:rFonts w:ascii="Arial" w:hAnsi="Arial" w:cs="Arial"/>
                <w:b/>
                <w:sz w:val="20"/>
                <w:szCs w:val="20"/>
                <w:lang w:val="fr-FR"/>
              </w:rPr>
              <w:t>Walfroy</w:t>
            </w:r>
          </w:p>
          <w:p w:rsidR="00B04D99" w:rsidRDefault="009D54E5" w:rsidP="000D3D3A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757D6">
              <w:rPr>
                <w:rFonts w:ascii="Arial" w:hAnsi="Arial" w:cs="Arial"/>
                <w:b/>
                <w:sz w:val="20"/>
                <w:szCs w:val="20"/>
                <w:lang w:val="fr-FR"/>
              </w:rPr>
              <w:t>Articles de presse (</w:t>
            </w:r>
            <w:hyperlink r:id="rId8" w:history="1">
              <w:r w:rsidRPr="000757D6">
                <w:rPr>
                  <w:rStyle w:val="Lienhypertexte"/>
                  <w:rFonts w:ascii="Arial" w:hAnsi="Arial" w:cs="Arial"/>
                  <w:b/>
                  <w:color w:val="auto"/>
                  <w:sz w:val="20"/>
                  <w:szCs w:val="20"/>
                  <w:lang w:val="fr-FR"/>
                </w:rPr>
                <w:t>www.miroironeline.com</w:t>
              </w:r>
            </w:hyperlink>
            <w:r w:rsidRPr="000757D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28 avril 2019, </w:t>
            </w:r>
          </w:p>
          <w:p w:rsidR="00B04D99" w:rsidRDefault="009D54E5" w:rsidP="000D3D3A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757D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Le Soleil 2 mai 2019, </w:t>
            </w:r>
          </w:p>
          <w:p w:rsidR="009D54E5" w:rsidRPr="000757D6" w:rsidRDefault="009D54E5" w:rsidP="000D3D3A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757D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RFM 13 mai 2019, RTS    </w:t>
            </w:r>
          </w:p>
          <w:p w:rsidR="009D54E5" w:rsidRPr="000757D6" w:rsidRDefault="009D54E5" w:rsidP="000D3D3A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757D6">
              <w:rPr>
                <w:rFonts w:ascii="Arial" w:hAnsi="Arial" w:cs="Arial"/>
                <w:b/>
                <w:sz w:val="20"/>
                <w:szCs w:val="20"/>
                <w:lang w:val="fr-FR"/>
              </w:rPr>
              <w:t>Article étudiants MDP (UFR CRAC)</w:t>
            </w:r>
          </w:p>
          <w:p w:rsidR="00B04D99" w:rsidRDefault="009D54E5" w:rsidP="000D3D3A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757D6">
              <w:rPr>
                <w:rFonts w:ascii="Arial" w:hAnsi="Arial" w:cs="Arial"/>
                <w:b/>
                <w:sz w:val="20"/>
                <w:szCs w:val="20"/>
                <w:lang w:val="fr-FR"/>
              </w:rPr>
              <w:t>Ouvrages (</w:t>
            </w:r>
            <w:r w:rsidRPr="000757D6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>Joséphine Ndiaye HAAS</w:t>
            </w:r>
            <w:r w:rsidRPr="000757D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, </w:t>
            </w:r>
          </w:p>
          <w:p w:rsidR="00B04D99" w:rsidRDefault="009D54E5" w:rsidP="000D3D3A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757D6">
              <w:rPr>
                <w:rFonts w:ascii="Arial" w:hAnsi="Arial" w:cs="Arial"/>
                <w:b/>
                <w:sz w:val="20"/>
                <w:szCs w:val="20"/>
                <w:lang w:val="fr-FR"/>
              </w:rPr>
              <w:t>Alpha Amadou SY «L’imaginaire saint-</w:t>
            </w:r>
            <w:r w:rsidR="00B04D99" w:rsidRPr="000757D6">
              <w:rPr>
                <w:rFonts w:ascii="Arial" w:hAnsi="Arial" w:cs="Arial"/>
                <w:b/>
                <w:sz w:val="20"/>
                <w:szCs w:val="20"/>
                <w:lang w:val="fr-FR"/>
              </w:rPr>
              <w:t>Louisien</w:t>
            </w:r>
            <w:r w:rsidRPr="000757D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, domou ndar à l’épreuve du temps», </w:t>
            </w:r>
          </w:p>
          <w:p w:rsidR="009D54E5" w:rsidRPr="000757D6" w:rsidRDefault="009D54E5" w:rsidP="000D3D3A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757D6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>Aminata Sow FALL</w:t>
            </w:r>
            <w:r w:rsidRPr="000757D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, « L’appel des arènes» ; </w:t>
            </w:r>
          </w:p>
          <w:p w:rsidR="009D54E5" w:rsidRPr="000757D6" w:rsidRDefault="009D54E5" w:rsidP="000D3D3A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757D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Revues </w:t>
            </w:r>
          </w:p>
          <w:p w:rsidR="009D54E5" w:rsidRPr="000757D6" w:rsidRDefault="009D54E5" w:rsidP="000D3D3A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/>
              </w:rPr>
            </w:pPr>
          </w:p>
        </w:tc>
      </w:tr>
      <w:tr w:rsidR="009D54E5" w:rsidRPr="00D80BAB" w:rsidTr="000D3D3A">
        <w:tc>
          <w:tcPr>
            <w:tcW w:w="709" w:type="dxa"/>
          </w:tcPr>
          <w:p w:rsidR="009D54E5" w:rsidRPr="000757D6" w:rsidRDefault="009D54E5" w:rsidP="000D3D3A">
            <w:pPr>
              <w:pStyle w:val="Sansinterligne"/>
              <w:rPr>
                <w:b/>
                <w:bCs/>
                <w:caps/>
                <w:kern w:val="28"/>
              </w:rPr>
            </w:pPr>
            <w:r w:rsidRPr="000757D6">
              <w:t>5.2.</w:t>
            </w:r>
          </w:p>
        </w:tc>
        <w:tc>
          <w:tcPr>
            <w:tcW w:w="10065" w:type="dxa"/>
          </w:tcPr>
          <w:p w:rsidR="009D54E5" w:rsidRPr="000757D6" w:rsidRDefault="009D54E5" w:rsidP="000D3D3A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/>
              </w:rPr>
            </w:pPr>
            <w:r w:rsidRPr="000757D6">
              <w:rPr>
                <w:rFonts w:ascii="Arial" w:hAnsi="Arial" w:cs="Arial"/>
                <w:sz w:val="20"/>
                <w:szCs w:val="20"/>
                <w:lang w:val="fr-FR"/>
              </w:rPr>
              <w:t xml:space="preserve">Enregistrements audiovisuels conservés dans des archives, musées et collections privées (le cas échéant) CRDS, équipe opérationnelle, </w:t>
            </w:r>
          </w:p>
        </w:tc>
      </w:tr>
      <w:tr w:rsidR="009D54E5" w:rsidRPr="00D80BAB" w:rsidTr="000D3D3A">
        <w:tc>
          <w:tcPr>
            <w:tcW w:w="709" w:type="dxa"/>
          </w:tcPr>
          <w:p w:rsidR="009D54E5" w:rsidRPr="000757D6" w:rsidRDefault="009D54E5" w:rsidP="000D3D3A">
            <w:pPr>
              <w:pStyle w:val="Sansinterligne"/>
              <w:rPr>
                <w:b/>
                <w:bCs/>
                <w:caps/>
                <w:kern w:val="28"/>
              </w:rPr>
            </w:pPr>
            <w:r w:rsidRPr="000757D6">
              <w:t>5.3.</w:t>
            </w:r>
          </w:p>
        </w:tc>
        <w:tc>
          <w:tcPr>
            <w:tcW w:w="10065" w:type="dxa"/>
          </w:tcPr>
          <w:p w:rsidR="009D54E5" w:rsidRPr="000757D6" w:rsidRDefault="009D54E5" w:rsidP="000D3D3A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757D6">
              <w:rPr>
                <w:rFonts w:ascii="Arial" w:hAnsi="Arial" w:cs="Arial"/>
                <w:sz w:val="20"/>
                <w:szCs w:val="20"/>
                <w:lang w:val="fr-FR"/>
              </w:rPr>
              <w:t xml:space="preserve"> Objets conservés dans des archives, musées et collections privées (le cas échéant)</w:t>
            </w:r>
          </w:p>
          <w:p w:rsidR="009D54E5" w:rsidRPr="000757D6" w:rsidRDefault="009D54E5" w:rsidP="000D3D3A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/>
              </w:rPr>
            </w:pPr>
            <w:r w:rsidRPr="000757D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Dans les familles, au Musée du CRDS, </w:t>
            </w:r>
          </w:p>
        </w:tc>
      </w:tr>
      <w:tr w:rsidR="009D54E5" w:rsidRPr="000757D6" w:rsidTr="000D3D3A">
        <w:tc>
          <w:tcPr>
            <w:tcW w:w="709" w:type="dxa"/>
            <w:shd w:val="clear" w:color="auto" w:fill="D0CECE" w:themeFill="background2" w:themeFillShade="E6"/>
          </w:tcPr>
          <w:p w:rsidR="009D54E5" w:rsidRPr="000757D6" w:rsidRDefault="009D54E5" w:rsidP="000D3D3A">
            <w:pPr>
              <w:pStyle w:val="Sansinterligne"/>
              <w:rPr>
                <w:b/>
              </w:rPr>
            </w:pPr>
            <w:r w:rsidRPr="000757D6">
              <w:rPr>
                <w:b/>
              </w:rPr>
              <w:t>6.</w:t>
            </w:r>
          </w:p>
        </w:tc>
        <w:tc>
          <w:tcPr>
            <w:tcW w:w="10065" w:type="dxa"/>
            <w:shd w:val="clear" w:color="auto" w:fill="D0CECE" w:themeFill="background2" w:themeFillShade="E6"/>
          </w:tcPr>
          <w:p w:rsidR="009D54E5" w:rsidRPr="000757D6" w:rsidRDefault="009D54E5" w:rsidP="000D3D3A">
            <w:pPr>
              <w:pStyle w:val="Sansinterligne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0757D6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Données d’inventaire</w:t>
            </w:r>
          </w:p>
        </w:tc>
      </w:tr>
      <w:tr w:rsidR="009D54E5" w:rsidRPr="000757D6" w:rsidTr="000D3D3A">
        <w:tc>
          <w:tcPr>
            <w:tcW w:w="709" w:type="dxa"/>
          </w:tcPr>
          <w:p w:rsidR="009D54E5" w:rsidRPr="000757D6" w:rsidRDefault="009D54E5" w:rsidP="000D3D3A">
            <w:pPr>
              <w:pStyle w:val="Sansinterligne"/>
              <w:rPr>
                <w:b/>
                <w:bCs/>
                <w:caps/>
                <w:kern w:val="28"/>
              </w:rPr>
            </w:pPr>
            <w:r w:rsidRPr="000757D6">
              <w:t>6.1.</w:t>
            </w:r>
          </w:p>
        </w:tc>
        <w:tc>
          <w:tcPr>
            <w:tcW w:w="10065" w:type="dxa"/>
          </w:tcPr>
          <w:p w:rsidR="009D54E5" w:rsidRPr="000757D6" w:rsidRDefault="009D54E5" w:rsidP="000D3D3A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757D6">
              <w:rPr>
                <w:rFonts w:ascii="Arial" w:hAnsi="Arial" w:cs="Arial"/>
                <w:sz w:val="20"/>
                <w:szCs w:val="20"/>
                <w:lang w:val="fr-FR"/>
              </w:rPr>
              <w:t>Nom et contacts de la personne(s) ayant compilé les données de l’inventaire</w:t>
            </w:r>
          </w:p>
          <w:p w:rsidR="00DA7668" w:rsidRPr="00C4022A" w:rsidRDefault="00DA7668" w:rsidP="00C4022A">
            <w:pPr>
              <w:pStyle w:val="Sansinterligne"/>
              <w:rPr>
                <w:rFonts w:ascii="Arial" w:hAnsi="Arial" w:cs="Arial"/>
                <w:b/>
                <w:caps/>
                <w:kern w:val="28"/>
                <w:sz w:val="20"/>
                <w:szCs w:val="20"/>
              </w:rPr>
            </w:pPr>
            <w:r w:rsidRPr="00C4022A">
              <w:rPr>
                <w:rFonts w:ascii="Arial" w:hAnsi="Arial" w:cs="Arial"/>
                <w:b/>
                <w:kern w:val="28"/>
                <w:sz w:val="20"/>
                <w:szCs w:val="20"/>
              </w:rPr>
              <w:t>Cheick DIAKITE : 77 708 51 91</w:t>
            </w:r>
          </w:p>
          <w:p w:rsidR="00DA7668" w:rsidRPr="00C4022A" w:rsidRDefault="00DA7668" w:rsidP="00C4022A">
            <w:pPr>
              <w:pStyle w:val="Sansinterligne"/>
              <w:rPr>
                <w:rFonts w:ascii="Arial" w:hAnsi="Arial" w:cs="Arial"/>
                <w:b/>
                <w:caps/>
                <w:kern w:val="28"/>
                <w:sz w:val="20"/>
                <w:szCs w:val="20"/>
              </w:rPr>
            </w:pPr>
            <w:r w:rsidRPr="00C4022A">
              <w:rPr>
                <w:rFonts w:ascii="Arial" w:hAnsi="Arial" w:cs="Arial"/>
                <w:b/>
                <w:kern w:val="28"/>
                <w:sz w:val="20"/>
                <w:szCs w:val="20"/>
              </w:rPr>
              <w:t>Moustaph NDIAYE : 77 509 53 01</w:t>
            </w:r>
          </w:p>
          <w:p w:rsidR="00C4022A" w:rsidRPr="00C4022A" w:rsidRDefault="00C4022A" w:rsidP="00C4022A">
            <w:pPr>
              <w:pStyle w:val="Sansinterligne"/>
              <w:rPr>
                <w:rFonts w:ascii="Arial" w:hAnsi="Arial" w:cs="Arial"/>
                <w:b/>
                <w:caps/>
                <w:kern w:val="28"/>
                <w:sz w:val="20"/>
                <w:szCs w:val="20"/>
              </w:rPr>
            </w:pPr>
            <w:r w:rsidRPr="00C4022A">
              <w:rPr>
                <w:rFonts w:ascii="Arial" w:hAnsi="Arial" w:cs="Arial"/>
                <w:b/>
                <w:color w:val="000000"/>
                <w:sz w:val="20"/>
                <w:szCs w:val="20"/>
              </w:rPr>
              <w:t>Fatima FALL : 77 640 43 55</w:t>
            </w:r>
          </w:p>
          <w:p w:rsidR="009D54E5" w:rsidRPr="000757D6" w:rsidRDefault="00DA7668" w:rsidP="00C4022A">
            <w:pPr>
              <w:pStyle w:val="Sansinterligne"/>
              <w:rPr>
                <w:rFonts w:ascii="Arial" w:hAnsi="Arial" w:cs="Arial"/>
                <w:caps/>
                <w:kern w:val="28"/>
              </w:rPr>
            </w:pPr>
            <w:r w:rsidRPr="00C4022A">
              <w:rPr>
                <w:rFonts w:ascii="Arial" w:hAnsi="Arial" w:cs="Arial"/>
                <w:b/>
                <w:snapToGrid w:val="0"/>
                <w:kern w:val="28"/>
                <w:sz w:val="20"/>
                <w:szCs w:val="20"/>
              </w:rPr>
              <w:t>Ndèye Marianne DIOP : 77 719 59 29</w:t>
            </w:r>
          </w:p>
        </w:tc>
      </w:tr>
      <w:tr w:rsidR="009D54E5" w:rsidRPr="000757D6" w:rsidTr="000D3D3A">
        <w:tc>
          <w:tcPr>
            <w:tcW w:w="709" w:type="dxa"/>
          </w:tcPr>
          <w:p w:rsidR="009D54E5" w:rsidRPr="000757D6" w:rsidRDefault="009D54E5" w:rsidP="000D3D3A">
            <w:pPr>
              <w:pStyle w:val="Sansinterligne"/>
            </w:pPr>
            <w:r w:rsidRPr="000757D6">
              <w:t>6.2.</w:t>
            </w:r>
          </w:p>
        </w:tc>
        <w:tc>
          <w:tcPr>
            <w:tcW w:w="10065" w:type="dxa"/>
          </w:tcPr>
          <w:p w:rsidR="009D54E5" w:rsidRDefault="009D54E5" w:rsidP="000D3D3A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757D6">
              <w:rPr>
                <w:rFonts w:ascii="Arial" w:hAnsi="Arial" w:cs="Arial"/>
                <w:sz w:val="20"/>
                <w:szCs w:val="20"/>
                <w:lang w:val="fr-FR"/>
              </w:rPr>
              <w:t>Preuves du consentement de la (des) communauté(s) concernée(s) : (a) pour l’inventaire de l’élément et (b) pour l’information à inclure dans l’inventaire</w:t>
            </w:r>
            <w:r>
              <w:rPr>
                <w:sz w:val="27"/>
                <w:szCs w:val="27"/>
                <w:lang w:val="fr-FR"/>
              </w:rPr>
              <w:t xml:space="preserve"> </w:t>
            </w:r>
            <w:r w:rsidRPr="000757D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9D54E5" w:rsidRPr="000757D6" w:rsidRDefault="009D54E5" w:rsidP="000D3D3A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757D6">
              <w:rPr>
                <w:rFonts w:ascii="Arial" w:hAnsi="Arial" w:cs="Arial"/>
                <w:b/>
                <w:sz w:val="20"/>
                <w:szCs w:val="20"/>
                <w:lang w:val="fr-FR"/>
              </w:rPr>
              <w:t>Voir vidéo</w:t>
            </w:r>
          </w:p>
          <w:p w:rsidR="009D54E5" w:rsidRPr="000757D6" w:rsidRDefault="009D54E5" w:rsidP="000D3D3A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/>
              </w:rPr>
            </w:pPr>
          </w:p>
        </w:tc>
      </w:tr>
      <w:tr w:rsidR="009D54E5" w:rsidRPr="000757D6" w:rsidTr="000D3D3A">
        <w:trPr>
          <w:trHeight w:val="599"/>
        </w:trPr>
        <w:tc>
          <w:tcPr>
            <w:tcW w:w="709" w:type="dxa"/>
          </w:tcPr>
          <w:p w:rsidR="009D54E5" w:rsidRPr="000757D6" w:rsidRDefault="009D54E5" w:rsidP="000D3D3A">
            <w:pPr>
              <w:pStyle w:val="Sansinterligne"/>
              <w:rPr>
                <w:b/>
                <w:bCs/>
                <w:caps/>
                <w:kern w:val="28"/>
              </w:rPr>
            </w:pPr>
            <w:r w:rsidRPr="000757D6">
              <w:t>6.3.</w:t>
            </w:r>
          </w:p>
        </w:tc>
        <w:tc>
          <w:tcPr>
            <w:tcW w:w="10065" w:type="dxa"/>
          </w:tcPr>
          <w:p w:rsidR="009D54E5" w:rsidRDefault="009D54E5" w:rsidP="000D3D3A">
            <w:pPr>
              <w:spacing w:before="80" w:after="480" w:line="200" w:lineRule="exact"/>
              <w:ind w:left="113"/>
              <w:jc w:val="left"/>
              <w:rPr>
                <w:snapToGrid/>
                <w:sz w:val="20"/>
                <w:szCs w:val="20"/>
                <w:lang w:val="fr-FR" w:eastAsia="fr-FR"/>
              </w:rPr>
            </w:pPr>
            <w:r w:rsidRPr="000757D6">
              <w:rPr>
                <w:snapToGrid/>
                <w:sz w:val="20"/>
                <w:szCs w:val="20"/>
                <w:lang w:val="fr-FR" w:eastAsia="fr-FR"/>
              </w:rPr>
              <w:t>Date d’enregistrement des données à l’inventaire</w:t>
            </w:r>
          </w:p>
          <w:p w:rsidR="009D54E5" w:rsidRPr="000757D6" w:rsidRDefault="00C4022A" w:rsidP="000D3D3A">
            <w:pPr>
              <w:spacing w:before="80" w:after="480" w:line="200" w:lineRule="exact"/>
              <w:ind w:left="113"/>
              <w:jc w:val="left"/>
              <w:rPr>
                <w:snapToGrid/>
                <w:sz w:val="20"/>
                <w:szCs w:val="20"/>
                <w:lang w:val="fr-FR" w:eastAsia="fr-FR"/>
              </w:rPr>
            </w:pPr>
            <w:r>
              <w:rPr>
                <w:b/>
                <w:snapToGrid/>
                <w:sz w:val="20"/>
                <w:szCs w:val="20"/>
                <w:lang w:val="fr-FR" w:eastAsia="fr-FR"/>
              </w:rPr>
              <w:t xml:space="preserve">27 et </w:t>
            </w:r>
            <w:r w:rsidR="009D54E5" w:rsidRPr="000757D6">
              <w:rPr>
                <w:b/>
                <w:snapToGrid/>
                <w:sz w:val="20"/>
                <w:szCs w:val="20"/>
                <w:lang w:val="fr-FR" w:eastAsia="fr-FR"/>
              </w:rPr>
              <w:t>28 avril 2019</w:t>
            </w:r>
          </w:p>
        </w:tc>
      </w:tr>
    </w:tbl>
    <w:p w:rsidR="009D54E5" w:rsidRPr="000757D6" w:rsidRDefault="009D54E5" w:rsidP="009D54E5">
      <w:pPr>
        <w:rPr>
          <w:lang w:val="fr-FR"/>
        </w:rPr>
      </w:pPr>
    </w:p>
    <w:p w:rsidR="009D54E5" w:rsidRPr="000757D6" w:rsidRDefault="009D54E5">
      <w:pPr>
        <w:rPr>
          <w:lang w:val="fr-FR"/>
        </w:rPr>
      </w:pPr>
    </w:p>
    <w:sectPr w:rsidR="009D54E5" w:rsidRPr="000757D6" w:rsidSect="00FF15CA">
      <w:pgSz w:w="11906" w:h="16838"/>
      <w:pgMar w:top="284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309" w:rsidRDefault="00653309" w:rsidP="00A257D6">
      <w:pPr>
        <w:spacing w:before="0" w:after="0"/>
      </w:pPr>
      <w:r>
        <w:separator/>
      </w:r>
    </w:p>
  </w:endnote>
  <w:endnote w:type="continuationSeparator" w:id="0">
    <w:p w:rsidR="00653309" w:rsidRDefault="00653309" w:rsidP="00A257D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309" w:rsidRDefault="00653309" w:rsidP="00A257D6">
      <w:pPr>
        <w:spacing w:before="0" w:after="0"/>
      </w:pPr>
      <w:r>
        <w:separator/>
      </w:r>
    </w:p>
  </w:footnote>
  <w:footnote w:type="continuationSeparator" w:id="0">
    <w:p w:rsidR="00653309" w:rsidRDefault="00653309" w:rsidP="00A257D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01650"/>
    <w:multiLevelType w:val="hybridMultilevel"/>
    <w:tmpl w:val="DA4AF282"/>
    <w:lvl w:ilvl="0" w:tplc="6AB2B45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F5E83"/>
    <w:multiLevelType w:val="hybridMultilevel"/>
    <w:tmpl w:val="BC467C16"/>
    <w:lvl w:ilvl="0" w:tplc="6AB2B45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937C8"/>
    <w:multiLevelType w:val="multilevel"/>
    <w:tmpl w:val="5270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0557E"/>
    <w:multiLevelType w:val="hybridMultilevel"/>
    <w:tmpl w:val="C2B8B742"/>
    <w:lvl w:ilvl="0" w:tplc="360A78D4">
      <w:start w:val="2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9D"/>
    <w:rsid w:val="00050031"/>
    <w:rsid w:val="000757D6"/>
    <w:rsid w:val="00086487"/>
    <w:rsid w:val="000A42C8"/>
    <w:rsid w:val="000B0F9B"/>
    <w:rsid w:val="000B5994"/>
    <w:rsid w:val="000D515B"/>
    <w:rsid w:val="000F3099"/>
    <w:rsid w:val="00104283"/>
    <w:rsid w:val="00121155"/>
    <w:rsid w:val="00125034"/>
    <w:rsid w:val="00135469"/>
    <w:rsid w:val="00147AC4"/>
    <w:rsid w:val="00161324"/>
    <w:rsid w:val="00190F4C"/>
    <w:rsid w:val="001D2A10"/>
    <w:rsid w:val="001F1084"/>
    <w:rsid w:val="001F783A"/>
    <w:rsid w:val="0023063F"/>
    <w:rsid w:val="002329A7"/>
    <w:rsid w:val="002503E0"/>
    <w:rsid w:val="00256801"/>
    <w:rsid w:val="0026303D"/>
    <w:rsid w:val="002A329D"/>
    <w:rsid w:val="002C3C3E"/>
    <w:rsid w:val="002D75BB"/>
    <w:rsid w:val="002F093A"/>
    <w:rsid w:val="00332F1F"/>
    <w:rsid w:val="00343481"/>
    <w:rsid w:val="003602D6"/>
    <w:rsid w:val="00374DFD"/>
    <w:rsid w:val="003948CC"/>
    <w:rsid w:val="003A33CA"/>
    <w:rsid w:val="003D4618"/>
    <w:rsid w:val="003E41FE"/>
    <w:rsid w:val="00411D8C"/>
    <w:rsid w:val="0041422F"/>
    <w:rsid w:val="00433C05"/>
    <w:rsid w:val="00436DC3"/>
    <w:rsid w:val="00462A89"/>
    <w:rsid w:val="00474CB9"/>
    <w:rsid w:val="00477016"/>
    <w:rsid w:val="00486814"/>
    <w:rsid w:val="004A058D"/>
    <w:rsid w:val="004A5303"/>
    <w:rsid w:val="004B04CD"/>
    <w:rsid w:val="004B4143"/>
    <w:rsid w:val="004C06ED"/>
    <w:rsid w:val="004C09AA"/>
    <w:rsid w:val="00512DA9"/>
    <w:rsid w:val="00513EFF"/>
    <w:rsid w:val="005155DA"/>
    <w:rsid w:val="0053313D"/>
    <w:rsid w:val="00536127"/>
    <w:rsid w:val="00546ECE"/>
    <w:rsid w:val="00556063"/>
    <w:rsid w:val="005C1174"/>
    <w:rsid w:val="00634B95"/>
    <w:rsid w:val="00635887"/>
    <w:rsid w:val="00653309"/>
    <w:rsid w:val="00660C89"/>
    <w:rsid w:val="006720EF"/>
    <w:rsid w:val="006A0FF2"/>
    <w:rsid w:val="00702AAB"/>
    <w:rsid w:val="00723C50"/>
    <w:rsid w:val="00747603"/>
    <w:rsid w:val="007505A7"/>
    <w:rsid w:val="007673FB"/>
    <w:rsid w:val="007A4AF3"/>
    <w:rsid w:val="007A52C6"/>
    <w:rsid w:val="007B325C"/>
    <w:rsid w:val="007D1C67"/>
    <w:rsid w:val="007E0B09"/>
    <w:rsid w:val="007F6D46"/>
    <w:rsid w:val="00807F9D"/>
    <w:rsid w:val="00820E51"/>
    <w:rsid w:val="00852389"/>
    <w:rsid w:val="00892B0A"/>
    <w:rsid w:val="008C3C87"/>
    <w:rsid w:val="008C4015"/>
    <w:rsid w:val="008E4D76"/>
    <w:rsid w:val="00937885"/>
    <w:rsid w:val="009926A6"/>
    <w:rsid w:val="00997022"/>
    <w:rsid w:val="009B7CDB"/>
    <w:rsid w:val="009C39A7"/>
    <w:rsid w:val="009D54E5"/>
    <w:rsid w:val="009E5B1D"/>
    <w:rsid w:val="009E74C0"/>
    <w:rsid w:val="00A17095"/>
    <w:rsid w:val="00A257D6"/>
    <w:rsid w:val="00A3298C"/>
    <w:rsid w:val="00A37952"/>
    <w:rsid w:val="00A40F64"/>
    <w:rsid w:val="00A57476"/>
    <w:rsid w:val="00A77EF6"/>
    <w:rsid w:val="00A871ED"/>
    <w:rsid w:val="00AC655B"/>
    <w:rsid w:val="00AC7B98"/>
    <w:rsid w:val="00AE48F0"/>
    <w:rsid w:val="00B04D99"/>
    <w:rsid w:val="00B439AC"/>
    <w:rsid w:val="00B56607"/>
    <w:rsid w:val="00B80C49"/>
    <w:rsid w:val="00B85F02"/>
    <w:rsid w:val="00B9196F"/>
    <w:rsid w:val="00BC18C1"/>
    <w:rsid w:val="00BF1100"/>
    <w:rsid w:val="00BF5121"/>
    <w:rsid w:val="00C22AA9"/>
    <w:rsid w:val="00C320DB"/>
    <w:rsid w:val="00C4022A"/>
    <w:rsid w:val="00CB1083"/>
    <w:rsid w:val="00CF7258"/>
    <w:rsid w:val="00CF748B"/>
    <w:rsid w:val="00D160E5"/>
    <w:rsid w:val="00D40161"/>
    <w:rsid w:val="00D45388"/>
    <w:rsid w:val="00D755D3"/>
    <w:rsid w:val="00D80BAB"/>
    <w:rsid w:val="00D91451"/>
    <w:rsid w:val="00D9452A"/>
    <w:rsid w:val="00D95515"/>
    <w:rsid w:val="00D97C4C"/>
    <w:rsid w:val="00DA0B1C"/>
    <w:rsid w:val="00DA7668"/>
    <w:rsid w:val="00DB71BA"/>
    <w:rsid w:val="00DC272E"/>
    <w:rsid w:val="00DC2A8E"/>
    <w:rsid w:val="00E22704"/>
    <w:rsid w:val="00E938AC"/>
    <w:rsid w:val="00F13DC9"/>
    <w:rsid w:val="00F70E34"/>
    <w:rsid w:val="00F85CD0"/>
    <w:rsid w:val="00F868DF"/>
    <w:rsid w:val="00F9321E"/>
    <w:rsid w:val="00FA01D7"/>
    <w:rsid w:val="00FA247B"/>
    <w:rsid w:val="00FA5AB1"/>
    <w:rsid w:val="00FB547C"/>
    <w:rsid w:val="00FF15CA"/>
    <w:rsid w:val="00FF6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065B2-A3C3-41E1-82B1-D1D699EC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F9D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807F9D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eastAsiaTheme="majorEastAsia" w:cstheme="majorBidi"/>
      <w:b/>
      <w:caps/>
      <w:snapToGrid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807F9D"/>
    <w:rPr>
      <w:rFonts w:ascii="Arial" w:eastAsiaTheme="majorEastAsia" w:hAnsi="Arial" w:cstheme="majorBidi"/>
      <w:b/>
      <w:caps/>
      <w:sz w:val="20"/>
    </w:rPr>
  </w:style>
  <w:style w:type="table" w:styleId="Grilledutableau">
    <w:name w:val="Table Grid"/>
    <w:basedOn w:val="TableauNormal"/>
    <w:uiPriority w:val="39"/>
    <w:rsid w:val="00807F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txt">
    <w:name w:val="Tabtxt"/>
    <w:basedOn w:val="Normal"/>
    <w:rsid w:val="00807F9D"/>
    <w:pPr>
      <w:keepNext/>
      <w:spacing w:before="60" w:after="60" w:line="200" w:lineRule="exact"/>
      <w:ind w:left="567"/>
      <w:jc w:val="center"/>
    </w:pPr>
    <w:rPr>
      <w:snapToGrid/>
      <w:sz w:val="18"/>
      <w:szCs w:val="18"/>
      <w:lang w:val="fr-FR" w:eastAsia="fr-FR"/>
    </w:rPr>
  </w:style>
  <w:style w:type="paragraph" w:styleId="Sansinterligne">
    <w:name w:val="No Spacing"/>
    <w:link w:val="SansinterligneCar"/>
    <w:uiPriority w:val="1"/>
    <w:qFormat/>
    <w:rsid w:val="00807F9D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07F9D"/>
    <w:rPr>
      <w:rFonts w:ascii="Calibri" w:eastAsia="Calibri" w:hAnsi="Calibri" w:cs="Times New Roman"/>
      <w:lang w:val="en-GB"/>
    </w:rPr>
  </w:style>
  <w:style w:type="paragraph" w:styleId="NormalWeb">
    <w:name w:val="Normal (Web)"/>
    <w:basedOn w:val="Normal"/>
    <w:uiPriority w:val="99"/>
    <w:unhideWhenUsed/>
    <w:rsid w:val="001F1084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napToGrid/>
      <w:sz w:val="24"/>
      <w:lang w:val="fr-FR"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A257D6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A257D6"/>
    <w:rPr>
      <w:rFonts w:ascii="Arial" w:eastAsia="SimSun" w:hAnsi="Arial" w:cs="Arial"/>
      <w:snapToGrid w:val="0"/>
      <w:szCs w:val="24"/>
      <w:lang w:val="en-US" w:eastAsia="zh-CN"/>
    </w:rPr>
  </w:style>
  <w:style w:type="paragraph" w:styleId="Pieddepage">
    <w:name w:val="footer"/>
    <w:basedOn w:val="Normal"/>
    <w:link w:val="PieddepageCar"/>
    <w:uiPriority w:val="99"/>
    <w:semiHidden/>
    <w:unhideWhenUsed/>
    <w:rsid w:val="00A257D6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257D6"/>
    <w:rPr>
      <w:rFonts w:ascii="Arial" w:eastAsia="SimSun" w:hAnsi="Arial" w:cs="Arial"/>
      <w:snapToGrid w:val="0"/>
      <w:szCs w:val="24"/>
      <w:lang w:val="en-US" w:eastAsia="zh-CN"/>
    </w:rPr>
  </w:style>
  <w:style w:type="character" w:styleId="Lienhypertexte">
    <w:name w:val="Hyperlink"/>
    <w:basedOn w:val="Policepardfaut"/>
    <w:uiPriority w:val="99"/>
    <w:unhideWhenUsed/>
    <w:rsid w:val="00D4016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6DC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DC3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Paragraphedeliste">
    <w:name w:val="List Paragraph"/>
    <w:basedOn w:val="Normal"/>
    <w:uiPriority w:val="34"/>
    <w:qFormat/>
    <w:rsid w:val="00DA7668"/>
    <w:pPr>
      <w:ind w:left="720"/>
      <w:contextualSpacing/>
    </w:pPr>
    <w:rPr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oironelin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1189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cp:lastPrinted>2019-05-20T09:40:00Z</cp:lastPrinted>
  <dcterms:created xsi:type="dcterms:W3CDTF">2020-03-30T00:15:00Z</dcterms:created>
  <dcterms:modified xsi:type="dcterms:W3CDTF">2020-03-30T19:22:00Z</dcterms:modified>
</cp:coreProperties>
</file>