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20373BAB" w:rsidR="00D11FA6" w:rsidRPr="009D724E" w:rsidRDefault="00F355F4" w:rsidP="00432578">
      <w:pPr>
        <w:pStyle w:val="Titre4"/>
        <w:spacing w:after="0" w:line="240" w:lineRule="auto"/>
        <w:jc w:val="center"/>
        <w:rPr>
          <w:rFonts w:asciiTheme="majorHAnsi" w:eastAsia="Calibri" w:hAnsiTheme="majorHAnsi" w:cs="Arial"/>
          <w:bCs/>
          <w:caps w:val="0"/>
          <w:snapToGrid w:val="0"/>
          <w:color w:val="3366FF"/>
          <w:kern w:val="28"/>
          <w:sz w:val="36"/>
          <w:szCs w:val="36"/>
          <w:u w:val="single"/>
          <w:lang w:eastAsia="zh-CN"/>
        </w:rPr>
      </w:pPr>
      <w:bookmarkStart w:id="0" w:name="_GoBack"/>
      <w:bookmarkEnd w:id="0"/>
      <w:r w:rsidRPr="009D724E">
        <w:rPr>
          <w:rFonts w:asciiTheme="majorHAnsi" w:eastAsia="Calibri" w:hAnsiTheme="majorHAnsi" w:cs="Arial"/>
          <w:bCs/>
          <w:caps w:val="0"/>
          <w:snapToGrid w:val="0"/>
          <w:color w:val="3366FF"/>
          <w:kern w:val="28"/>
          <w:sz w:val="36"/>
          <w:szCs w:val="36"/>
          <w:u w:val="single"/>
          <w:lang w:eastAsia="zh-CN"/>
        </w:rPr>
        <w:t>FICHE TYPE D’INVENTAIRE DU PCI</w:t>
      </w:r>
    </w:p>
    <w:p w14:paraId="07024AD4" w14:textId="280754E8" w:rsidR="00F355F4" w:rsidRPr="009D724E" w:rsidRDefault="00F355F4" w:rsidP="00432578">
      <w:pPr>
        <w:spacing w:after="0"/>
        <w:jc w:val="center"/>
        <w:rPr>
          <w:rFonts w:asciiTheme="majorHAnsi" w:hAnsiTheme="majorHAnsi"/>
          <w:sz w:val="36"/>
          <w:szCs w:val="36"/>
          <w:u w:val="single"/>
          <w:lang w:val="fr-FR"/>
        </w:rPr>
      </w:pPr>
    </w:p>
    <w:p w14:paraId="3C50FD8E" w14:textId="09038303" w:rsidR="00F355F4" w:rsidRPr="009D724E" w:rsidRDefault="00FD0C4C" w:rsidP="00432578">
      <w:pPr>
        <w:spacing w:after="0"/>
        <w:rPr>
          <w:rFonts w:asciiTheme="majorHAnsi" w:hAnsiTheme="majorHAnsi"/>
          <w:szCs w:val="22"/>
          <w:lang w:val="fr-FR"/>
        </w:rPr>
      </w:pPr>
      <w:r w:rsidRPr="009D724E">
        <w:rPr>
          <w:rFonts w:asciiTheme="majorHAnsi" w:hAnsiTheme="majorHAnsi"/>
          <w:b/>
          <w:szCs w:val="22"/>
          <w:u w:val="thick"/>
          <w:lang w:val="fr-FR"/>
        </w:rPr>
        <w:t>REGION</w:t>
      </w:r>
      <w:r w:rsidRPr="009D724E">
        <w:rPr>
          <w:rFonts w:asciiTheme="majorHAnsi" w:hAnsiTheme="majorHAnsi"/>
          <w:b/>
          <w:szCs w:val="22"/>
          <w:lang w:val="fr-FR"/>
        </w:rPr>
        <w:t xml:space="preserve"> :   THIES </w:t>
      </w:r>
    </w:p>
    <w:p w14:paraId="46BDE879" w14:textId="77777777" w:rsidR="00F355F4" w:rsidRPr="009D724E" w:rsidRDefault="00F355F4" w:rsidP="00432578">
      <w:pPr>
        <w:spacing w:after="0"/>
        <w:rPr>
          <w:rFonts w:asciiTheme="majorHAnsi" w:hAnsiTheme="majorHAnsi"/>
          <w:b/>
          <w:szCs w:val="22"/>
          <w:lang w:val="fr-FR"/>
        </w:rPr>
      </w:pPr>
    </w:p>
    <w:p w14:paraId="1C1116F0" w14:textId="3E6C4913" w:rsidR="00F355F4" w:rsidRPr="009D724E" w:rsidRDefault="00F355F4" w:rsidP="00432578">
      <w:pPr>
        <w:spacing w:after="0"/>
        <w:rPr>
          <w:rFonts w:asciiTheme="majorHAnsi" w:hAnsiTheme="majorHAnsi"/>
          <w:b/>
          <w:szCs w:val="22"/>
          <w:lang w:val="fr-FR"/>
        </w:rPr>
      </w:pPr>
      <w:r w:rsidRPr="009D724E">
        <w:rPr>
          <w:rFonts w:asciiTheme="majorHAnsi" w:hAnsiTheme="majorHAnsi"/>
          <w:b/>
          <w:szCs w:val="22"/>
          <w:u w:val="single"/>
          <w:lang w:val="fr-FR"/>
        </w:rPr>
        <w:t>DEPARTEMENT</w:t>
      </w:r>
      <w:r w:rsidRPr="009D724E">
        <w:rPr>
          <w:rFonts w:asciiTheme="majorHAnsi" w:hAnsiTheme="majorHAnsi"/>
          <w:b/>
          <w:szCs w:val="22"/>
          <w:lang w:val="fr-FR"/>
        </w:rPr>
        <w:t> :</w:t>
      </w:r>
      <w:r w:rsidR="00FD0C4C" w:rsidRPr="009D724E">
        <w:rPr>
          <w:rFonts w:asciiTheme="majorHAnsi" w:hAnsiTheme="majorHAnsi"/>
          <w:b/>
          <w:szCs w:val="22"/>
          <w:lang w:val="fr-FR"/>
        </w:rPr>
        <w:t xml:space="preserve">   </w:t>
      </w:r>
      <w:r w:rsidR="008E70D7" w:rsidRPr="009D724E">
        <w:rPr>
          <w:rFonts w:asciiTheme="majorHAnsi" w:hAnsiTheme="majorHAnsi"/>
          <w:b/>
          <w:szCs w:val="22"/>
          <w:lang w:val="fr-FR"/>
        </w:rPr>
        <w:t xml:space="preserve">THIES </w:t>
      </w:r>
    </w:p>
    <w:p w14:paraId="565B1A39" w14:textId="7E447604" w:rsidR="00C92ED6" w:rsidRPr="009D724E" w:rsidRDefault="00F355F4" w:rsidP="00432578">
      <w:pPr>
        <w:pStyle w:val="Titre4"/>
        <w:spacing w:after="0" w:line="240" w:lineRule="auto"/>
        <w:rPr>
          <w:rFonts w:asciiTheme="majorHAnsi" w:hAnsiTheme="majorHAnsi"/>
          <w:sz w:val="22"/>
        </w:rPr>
      </w:pPr>
      <w:r w:rsidRPr="009D724E">
        <w:rPr>
          <w:rFonts w:asciiTheme="majorHAnsi" w:hAnsiTheme="majorHAnsi"/>
          <w:sz w:val="22"/>
          <w:u w:val="thick"/>
        </w:rPr>
        <w:t>Numero de la fiche</w:t>
      </w:r>
      <w:r w:rsidRPr="009D724E">
        <w:rPr>
          <w:rFonts w:asciiTheme="majorHAnsi" w:hAnsiTheme="majorHAnsi"/>
          <w:sz w:val="22"/>
        </w:rPr>
        <w:t> </w:t>
      </w:r>
      <w:r w:rsidR="00A1322E" w:rsidRPr="009D724E">
        <w:rPr>
          <w:rFonts w:asciiTheme="majorHAnsi" w:hAnsiTheme="majorHAnsi"/>
          <w:sz w:val="22"/>
        </w:rPr>
        <w:t>: 003</w:t>
      </w:r>
    </w:p>
    <w:p w14:paraId="43BC03AC" w14:textId="77777777" w:rsidR="00B16923" w:rsidRPr="009D724E" w:rsidRDefault="00B16923" w:rsidP="00B16923">
      <w:pPr>
        <w:rPr>
          <w:rFonts w:asciiTheme="majorHAnsi" w:hAnsiTheme="majorHAnsi"/>
          <w:szCs w:val="22"/>
          <w:lang w:val="fr-FR" w:eastAsia="en-US"/>
        </w:rPr>
      </w:pPr>
    </w:p>
    <w:tbl>
      <w:tblPr>
        <w:tblW w:w="97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144"/>
      </w:tblGrid>
      <w:tr w:rsidR="00C92ED6" w:rsidRPr="00A4554A" w14:paraId="404C9DFB" w14:textId="77777777" w:rsidTr="002D3950">
        <w:tc>
          <w:tcPr>
            <w:tcW w:w="562" w:type="dxa"/>
            <w:shd w:val="clear" w:color="auto" w:fill="F2F2F2"/>
          </w:tcPr>
          <w:p w14:paraId="0009D042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1.</w:t>
            </w:r>
          </w:p>
        </w:tc>
        <w:tc>
          <w:tcPr>
            <w:tcW w:w="9144" w:type="dxa"/>
            <w:shd w:val="clear" w:color="auto" w:fill="F2F2F2"/>
          </w:tcPr>
          <w:p w14:paraId="13871566" w14:textId="77777777" w:rsidR="00C92ED6" w:rsidRPr="009D724E" w:rsidRDefault="00C92ED6" w:rsidP="00432578">
            <w:pPr>
              <w:pStyle w:val="Tabtxt"/>
              <w:keepNext w:val="0"/>
              <w:spacing w:before="80" w:after="0" w:line="240" w:lineRule="auto"/>
              <w:ind w:left="113"/>
              <w:jc w:val="left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9D724E">
              <w:rPr>
                <w:rFonts w:asciiTheme="majorHAnsi" w:hAnsiTheme="majorHAnsi"/>
                <w:b/>
                <w:caps/>
                <w:snapToGrid w:val="0"/>
                <w:sz w:val="22"/>
                <w:szCs w:val="22"/>
              </w:rPr>
              <w:t>Identification de l’élément du PCI</w:t>
            </w:r>
          </w:p>
        </w:tc>
      </w:tr>
      <w:tr w:rsidR="00C92ED6" w:rsidRPr="009D724E" w14:paraId="3F409B14" w14:textId="77777777" w:rsidTr="002D3950">
        <w:tc>
          <w:tcPr>
            <w:tcW w:w="562" w:type="dxa"/>
            <w:shd w:val="clear" w:color="auto" w:fill="auto"/>
          </w:tcPr>
          <w:p w14:paraId="565588F5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1.1.</w:t>
            </w:r>
          </w:p>
        </w:tc>
        <w:tc>
          <w:tcPr>
            <w:tcW w:w="9144" w:type="dxa"/>
            <w:shd w:val="clear" w:color="auto" w:fill="auto"/>
          </w:tcPr>
          <w:p w14:paraId="2370805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Nom de l’élément du PCI tel qu’il est employé par la communauté concernée</w:t>
            </w:r>
          </w:p>
          <w:p w14:paraId="2A74006A" w14:textId="0D1A5CE0" w:rsidR="00A1322E" w:rsidRPr="009D724E" w:rsidRDefault="002D3950" w:rsidP="002D3950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 </w:t>
            </w:r>
            <w:r w:rsidR="00A4554A"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Pr="00A4554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Paj</w:t>
            </w:r>
          </w:p>
        </w:tc>
      </w:tr>
      <w:tr w:rsidR="00C92ED6" w:rsidRPr="00A4554A" w14:paraId="5696574F" w14:textId="77777777" w:rsidTr="002D3950">
        <w:tc>
          <w:tcPr>
            <w:tcW w:w="562" w:type="dxa"/>
            <w:shd w:val="clear" w:color="auto" w:fill="auto"/>
          </w:tcPr>
          <w:p w14:paraId="2C8A2D6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1.2.</w:t>
            </w:r>
          </w:p>
        </w:tc>
        <w:tc>
          <w:tcPr>
            <w:tcW w:w="9144" w:type="dxa"/>
            <w:shd w:val="clear" w:color="auto" w:fill="auto"/>
          </w:tcPr>
          <w:p w14:paraId="5DA2F97E" w14:textId="77777777" w:rsidR="00C92ED6" w:rsidRPr="009D724E" w:rsidRDefault="00A06BC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Titre 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de l’élément du PCI ‒ avec indication du (des) domaine(s) du PCI concerné(s)</w:t>
            </w:r>
          </w:p>
          <w:p w14:paraId="7A6B1A1E" w14:textId="4AD319FB" w:rsidR="00283C24" w:rsidRPr="009D724E" w:rsidRDefault="00A4554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</w:t>
            </w: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aj</w:t>
            </w:r>
            <w:r w:rsidR="009D1481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(en</w:t>
            </w:r>
            <w:r w:rsidR="00283C24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wolof)</w:t>
            </w:r>
            <w:r w:rsidR="005F368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ou la </w:t>
            </w:r>
            <w:r w:rsidR="002D3950" w:rsidRPr="00EA73A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médecine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F368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traditionnelle</w:t>
            </w:r>
          </w:p>
          <w:p w14:paraId="4BFD7C4C" w14:textId="2B161DF3" w:rsidR="002F0FEB" w:rsidRPr="009D724E" w:rsidRDefault="005510F4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kern w:val="28"/>
                <w:szCs w:val="22"/>
                <w:lang w:val="fr-FR" w:eastAsia="fr-FR"/>
              </w:rPr>
              <w:t xml:space="preserve">le </w:t>
            </w:r>
            <w:r w:rsidR="00EA73AF">
              <w:rPr>
                <w:rFonts w:asciiTheme="majorHAnsi" w:hAnsiTheme="majorHAnsi"/>
                <w:b/>
                <w:bCs/>
                <w:i/>
                <w:kern w:val="28"/>
                <w:szCs w:val="22"/>
                <w:lang w:val="fr-FR" w:eastAsia="fr-FR"/>
              </w:rPr>
              <w:t>Paj</w:t>
            </w:r>
            <w:r w:rsidR="008B200A" w:rsidRPr="009D724E">
              <w:rPr>
                <w:rFonts w:asciiTheme="majorHAnsi" w:hAnsiTheme="majorHAnsi"/>
                <w:b/>
                <w:bCs/>
                <w:kern w:val="28"/>
                <w:szCs w:val="22"/>
                <w:lang w:val="fr-FR" w:eastAsia="fr-FR"/>
              </w:rPr>
              <w:t xml:space="preserve"> est du domaine des connaissances et pratiques concernant la nature et l’univers</w:t>
            </w:r>
          </w:p>
        </w:tc>
      </w:tr>
      <w:tr w:rsidR="00C92ED6" w:rsidRPr="00A4554A" w14:paraId="406D785C" w14:textId="77777777" w:rsidTr="002D3950">
        <w:tc>
          <w:tcPr>
            <w:tcW w:w="562" w:type="dxa"/>
            <w:shd w:val="clear" w:color="auto" w:fill="auto"/>
          </w:tcPr>
          <w:p w14:paraId="60A05A86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1.3.</w:t>
            </w:r>
          </w:p>
        </w:tc>
        <w:tc>
          <w:tcPr>
            <w:tcW w:w="9144" w:type="dxa"/>
            <w:shd w:val="clear" w:color="auto" w:fill="auto"/>
          </w:tcPr>
          <w:p w14:paraId="02D71C72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Communauté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(s) concernée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(s)</w:t>
            </w:r>
          </w:p>
          <w:p w14:paraId="02BDA4F2" w14:textId="3BE93194" w:rsidR="00900387" w:rsidRPr="009D724E" w:rsidRDefault="00F7322C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Serère No</w:t>
            </w:r>
            <w:r w:rsidR="008D1D2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o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ne</w:t>
            </w:r>
          </w:p>
        </w:tc>
      </w:tr>
      <w:tr w:rsidR="00C92ED6" w:rsidRPr="00A4554A" w14:paraId="7E5DF958" w14:textId="77777777" w:rsidTr="002D3950">
        <w:tc>
          <w:tcPr>
            <w:tcW w:w="562" w:type="dxa"/>
            <w:shd w:val="clear" w:color="auto" w:fill="auto"/>
          </w:tcPr>
          <w:p w14:paraId="42AF2DDA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1.4.</w:t>
            </w:r>
          </w:p>
        </w:tc>
        <w:tc>
          <w:tcPr>
            <w:tcW w:w="9144" w:type="dxa"/>
            <w:shd w:val="clear" w:color="auto" w:fill="auto"/>
          </w:tcPr>
          <w:p w14:paraId="3464661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Emplacement(s) physique(s)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/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répartition et fréquence de la pratique de l’élément du PCI</w:t>
            </w:r>
          </w:p>
          <w:p w14:paraId="557ED92A" w14:textId="7229F815" w:rsidR="006214A5" w:rsidRPr="009D724E" w:rsidRDefault="006214A5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Thies et ses environs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(Fandène,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Thies </w:t>
            </w:r>
            <w:r w:rsidR="004234D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Noon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Peycouk,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C258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Monrolland,</w:t>
            </w:r>
            <w:r w:rsidR="00C5372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A24B7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</w:t>
            </w:r>
            <w:r w:rsidR="0005191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Lehár</w:t>
            </w:r>
            <w:r w:rsidR="004234D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Lalan</w:t>
            </w:r>
            <w:r w:rsidR="0005191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</w:p>
        </w:tc>
      </w:tr>
      <w:tr w:rsidR="00C92ED6" w:rsidRPr="00A4554A" w14:paraId="67068422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633A40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1.5.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42CDDF30" w14:textId="77777777" w:rsidR="00C92ED6" w:rsidRPr="009D724E" w:rsidRDefault="00C92ED6" w:rsidP="00432578">
            <w:pPr>
              <w:spacing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Brève description de l’élément du PCI (de préférence pas plus de 200 mots)</w:t>
            </w:r>
          </w:p>
          <w:p w14:paraId="0631FE6A" w14:textId="77777777" w:rsidR="004C7240" w:rsidRPr="009D724E" w:rsidRDefault="004C7240" w:rsidP="00432578">
            <w:pPr>
              <w:spacing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  <w:p w14:paraId="73063B36" w14:textId="21004D08" w:rsidR="00344F1B" w:rsidRPr="009D724E" w:rsidRDefault="00635F68" w:rsidP="00271DFA">
            <w:pPr>
              <w:spacing w:before="0" w:after="0"/>
              <w:rPr>
                <w:rFonts w:asciiTheme="majorHAnsi" w:hAnsiTheme="majorHAnsi"/>
                <w:b/>
                <w:szCs w:val="22"/>
                <w:lang w:val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L’élément</w:t>
            </w:r>
            <w:r w:rsidR="00460EF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du PCI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porte sur la guérison des maladies. </w:t>
            </w:r>
            <w:r w:rsidR="00EA73AF">
              <w:rPr>
                <w:rFonts w:asciiTheme="majorHAnsi" w:hAnsiTheme="majorHAnsi"/>
                <w:b/>
                <w:szCs w:val="22"/>
                <w:lang w:val="fr-FR"/>
              </w:rPr>
              <w:t>Paj</w:t>
            </w:r>
            <w:r w:rsidR="004A3C60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en sérère</w:t>
            </w:r>
            <w:r w:rsidR="008D1D2B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signifie « guérir ».</w:t>
            </w:r>
          </w:p>
          <w:p w14:paraId="4027B96E" w14:textId="16705B9D" w:rsidR="00AE1593" w:rsidRDefault="00B97B89" w:rsidP="00271DFA">
            <w:pPr>
              <w:spacing w:before="0" w:after="0"/>
              <w:rPr>
                <w:rFonts w:asciiTheme="majorHAnsi" w:hAnsiTheme="majorHAnsi"/>
                <w:b/>
                <w:szCs w:val="22"/>
                <w:lang w:val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/>
              </w:rPr>
              <w:t>Ce rituel est</w:t>
            </w:r>
            <w:r w:rsidR="00DE4485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aussi</w:t>
            </w:r>
            <w:r w:rsidR="000171A5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marqué par  l’anticipation et la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divination chez les sérères </w:t>
            </w:r>
            <w:r w:rsidR="0076493C">
              <w:rPr>
                <w:rFonts w:asciiTheme="majorHAnsi" w:hAnsiTheme="majorHAnsi"/>
                <w:b/>
                <w:szCs w:val="22"/>
                <w:lang w:val="fr-FR"/>
              </w:rPr>
              <w:t>Noon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à l’approche </w:t>
            </w:r>
            <w:r w:rsidR="004A3C60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de </w:t>
            </w:r>
            <w:r w:rsidR="00C43372" w:rsidRPr="009D724E">
              <w:rPr>
                <w:rFonts w:asciiTheme="majorHAnsi" w:hAnsiTheme="majorHAnsi"/>
                <w:b/>
                <w:szCs w:val="22"/>
                <w:lang w:val="fr-FR"/>
              </w:rPr>
              <w:t>l’hivernage</w:t>
            </w:r>
            <w:r w:rsidR="00794B0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>prévoyant</w:t>
            </w:r>
            <w:r w:rsidR="00794B0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la destruction ou non des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>récoltes par les oiseaux</w:t>
            </w:r>
            <w:r w:rsidR="0076493C">
              <w:rPr>
                <w:rFonts w:asciiTheme="majorHAnsi" w:hAnsiTheme="majorHAnsi"/>
                <w:b/>
                <w:szCs w:val="22"/>
                <w:lang w:val="fr-FR"/>
              </w:rPr>
              <w:t xml:space="preserve"> migrateurs 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ou criquets</w:t>
            </w:r>
            <w:r w:rsidR="00605ADD">
              <w:rPr>
                <w:rFonts w:asciiTheme="majorHAnsi" w:hAnsiTheme="majorHAnsi"/>
                <w:b/>
                <w:szCs w:val="22"/>
                <w:lang w:val="fr-FR"/>
              </w:rPr>
              <w:t>. Le paj</w:t>
            </w:r>
            <w:r w:rsidR="004F68F0">
              <w:rPr>
                <w:rFonts w:asciiTheme="majorHAnsi" w:hAnsiTheme="majorHAnsi"/>
                <w:b/>
                <w:szCs w:val="22"/>
                <w:lang w:val="fr-FR"/>
              </w:rPr>
              <w:t xml:space="preserve"> concerne aussi </w:t>
            </w:r>
            <w:r w:rsidR="00836599">
              <w:rPr>
                <w:rFonts w:asciiTheme="majorHAnsi" w:hAnsiTheme="majorHAnsi"/>
                <w:b/>
                <w:szCs w:val="22"/>
                <w:lang w:val="fr-FR"/>
              </w:rPr>
              <w:t>la voyance</w:t>
            </w:r>
            <w:r w:rsidR="00091707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FE4D8F">
              <w:rPr>
                <w:rFonts w:asciiTheme="majorHAnsi" w:hAnsiTheme="majorHAnsi"/>
                <w:b/>
                <w:szCs w:val="22"/>
                <w:lang w:val="fr-FR"/>
              </w:rPr>
              <w:t>sur des</w:t>
            </w:r>
            <w:r w:rsidR="00C11A2D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>évènements de grande envergure dan</w:t>
            </w:r>
            <w:r w:rsidR="00FE4D8F">
              <w:rPr>
                <w:rFonts w:asciiTheme="majorHAnsi" w:hAnsiTheme="majorHAnsi"/>
                <w:b/>
                <w:szCs w:val="22"/>
                <w:lang w:val="fr-FR"/>
              </w:rPr>
              <w:t xml:space="preserve">s la perspective de voir s’il y 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>a</w:t>
            </w:r>
            <w:r w:rsidR="00BD2F9F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ura 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>des difficultés</w:t>
            </w:r>
            <w:r w:rsidR="00605ADD">
              <w:rPr>
                <w:rFonts w:asciiTheme="majorHAnsi" w:hAnsiTheme="majorHAnsi"/>
                <w:b/>
                <w:szCs w:val="22"/>
                <w:lang w:val="fr-FR"/>
              </w:rPr>
              <w:t xml:space="preserve"> ou non</w:t>
            </w:r>
            <w:r w:rsidR="00635F68" w:rsidRPr="009D724E">
              <w:rPr>
                <w:rFonts w:asciiTheme="majorHAnsi" w:hAnsiTheme="majorHAnsi"/>
                <w:b/>
                <w:szCs w:val="22"/>
                <w:lang w:val="fr-FR"/>
              </w:rPr>
              <w:t xml:space="preserve"> qui pourraient éventuellement freiner la bonne exécution de ces événements.</w:t>
            </w:r>
          </w:p>
          <w:p w14:paraId="293B76A0" w14:textId="4E74BD4A" w:rsidR="00672034" w:rsidRPr="009D724E" w:rsidRDefault="00672034" w:rsidP="00271DFA">
            <w:pPr>
              <w:spacing w:before="0" w:after="0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zCs w:val="22"/>
                <w:lang w:val="fr-FR"/>
              </w:rPr>
              <w:t>La voyance</w:t>
            </w:r>
            <w:r w:rsidR="004A11DB">
              <w:rPr>
                <w:rFonts w:asciiTheme="majorHAnsi" w:hAnsiTheme="majorHAnsi"/>
                <w:b/>
                <w:szCs w:val="22"/>
                <w:lang w:val="fr-FR"/>
              </w:rPr>
              <w:t xml:space="preserve"> ou la pratique du paj </w:t>
            </w:r>
            <w:r>
              <w:rPr>
                <w:rFonts w:asciiTheme="majorHAnsi" w:hAnsiTheme="majorHAnsi"/>
                <w:b/>
                <w:szCs w:val="22"/>
                <w:lang w:val="fr-FR"/>
              </w:rPr>
              <w:t xml:space="preserve"> se fait sur du sable</w:t>
            </w:r>
            <w:r w:rsidR="00C643E1">
              <w:rPr>
                <w:rFonts w:asciiTheme="majorHAnsi" w:hAnsiTheme="majorHAnsi"/>
                <w:b/>
                <w:szCs w:val="22"/>
                <w:lang w:val="fr-FR"/>
              </w:rPr>
              <w:t xml:space="preserve">, </w:t>
            </w:r>
            <w:r w:rsidR="002928AB">
              <w:rPr>
                <w:rFonts w:asciiTheme="majorHAnsi" w:hAnsiTheme="majorHAnsi"/>
                <w:b/>
                <w:szCs w:val="22"/>
                <w:lang w:val="fr-FR"/>
              </w:rPr>
              <w:t xml:space="preserve">des canaris remplis d’eau </w:t>
            </w:r>
            <w:r w:rsidR="00872248">
              <w:rPr>
                <w:rFonts w:asciiTheme="majorHAnsi" w:hAnsiTheme="majorHAnsi"/>
                <w:b/>
                <w:szCs w:val="22"/>
                <w:lang w:val="fr-FR"/>
              </w:rPr>
              <w:t xml:space="preserve">mélangée de </w:t>
            </w:r>
            <w:r w:rsidR="00DA48A9">
              <w:rPr>
                <w:rFonts w:asciiTheme="majorHAnsi" w:hAnsiTheme="majorHAnsi"/>
                <w:b/>
                <w:szCs w:val="22"/>
                <w:lang w:val="fr-FR"/>
              </w:rPr>
              <w:t xml:space="preserve">racines, de feuilles </w:t>
            </w:r>
            <w:r w:rsidR="001C2C29">
              <w:rPr>
                <w:rFonts w:asciiTheme="majorHAnsi" w:hAnsiTheme="majorHAnsi"/>
                <w:b/>
                <w:szCs w:val="22"/>
                <w:lang w:val="fr-FR"/>
              </w:rPr>
              <w:t>permettent de faire le bain mystique.</w:t>
            </w:r>
            <w:r w:rsidR="00872248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  <w:r w:rsidR="002928AB">
              <w:rPr>
                <w:rFonts w:asciiTheme="majorHAnsi" w:hAnsiTheme="majorHAnsi"/>
                <w:b/>
                <w:szCs w:val="22"/>
                <w:lang w:val="fr-FR"/>
              </w:rPr>
              <w:t xml:space="preserve"> </w:t>
            </w:r>
          </w:p>
          <w:p w14:paraId="36293C99" w14:textId="4B89CCF1" w:rsidR="0005191A" w:rsidRPr="009D724E" w:rsidRDefault="0005191A" w:rsidP="001C2C29">
            <w:pPr>
              <w:spacing w:after="0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</w:tc>
      </w:tr>
      <w:tr w:rsidR="00C92ED6" w:rsidRPr="00A4554A" w14:paraId="6DAE9358" w14:textId="77777777" w:rsidTr="002D3950">
        <w:tc>
          <w:tcPr>
            <w:tcW w:w="562" w:type="dxa"/>
            <w:shd w:val="clear" w:color="auto" w:fill="F2F2F2"/>
          </w:tcPr>
          <w:p w14:paraId="0008024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2.</w:t>
            </w:r>
          </w:p>
        </w:tc>
        <w:tc>
          <w:tcPr>
            <w:tcW w:w="9144" w:type="dxa"/>
            <w:shd w:val="clear" w:color="auto" w:fill="F2F2F2"/>
          </w:tcPr>
          <w:p w14:paraId="4E4CA6FA" w14:textId="77777777" w:rsidR="00C92ED6" w:rsidRPr="009D724E" w:rsidRDefault="00C92ED6" w:rsidP="00432578">
            <w:pPr>
              <w:spacing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Caractéristiques de l’élément du PCI</w:t>
            </w:r>
          </w:p>
        </w:tc>
      </w:tr>
      <w:tr w:rsidR="00C92ED6" w:rsidRPr="00A4554A" w14:paraId="0BE43642" w14:textId="77777777" w:rsidTr="002D3950">
        <w:tc>
          <w:tcPr>
            <w:tcW w:w="562" w:type="dxa"/>
            <w:shd w:val="clear" w:color="auto" w:fill="auto"/>
          </w:tcPr>
          <w:p w14:paraId="5D578C3B" w14:textId="77777777" w:rsidR="00C92ED6" w:rsidRPr="009D724E" w:rsidRDefault="00C92ED6" w:rsidP="00432578">
            <w:pPr>
              <w:spacing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2.1.</w:t>
            </w:r>
          </w:p>
        </w:tc>
        <w:tc>
          <w:tcPr>
            <w:tcW w:w="9144" w:type="dxa"/>
            <w:shd w:val="clear" w:color="auto" w:fill="auto"/>
          </w:tcPr>
          <w:p w14:paraId="4A794AE7" w14:textId="77777777" w:rsidR="00C92ED6" w:rsidRPr="009D724E" w:rsidRDefault="00C92ED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Praticien(s)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/</w:t>
            </w:r>
            <w:r w:rsidR="00A06BCB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14:paraId="6C127876" w14:textId="3CE2BF01" w:rsidR="00512BA6" w:rsidRPr="009D724E" w:rsidRDefault="00512BA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Ce sont les « Saltigué »</w:t>
            </w:r>
            <w:r w:rsidR="005863E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ou homme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</w:t>
            </w:r>
            <w:r w:rsidR="005863E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du savoir</w:t>
            </w:r>
          </w:p>
          <w:p w14:paraId="6CCAEE4A" w14:textId="02851733" w:rsidR="00F323A3" w:rsidRPr="009D724E" w:rsidRDefault="00F041CB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Georges </w:t>
            </w:r>
            <w:r w:rsidR="00E207A6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Victor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Ndione né le 15 octobre 1967</w:t>
            </w:r>
            <w:r w:rsid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tradi-praticien, voyant</w:t>
            </w:r>
          </w:p>
          <w:p w14:paraId="657768EB" w14:textId="45C90023" w:rsidR="00F041CB" w:rsidRPr="009D724E" w:rsidRDefault="00E207A6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François 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uguste </w:t>
            </w:r>
            <w:proofErr w:type="spellStart"/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Ndione</w:t>
            </w:r>
            <w:proofErr w:type="spellEnd"/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né en 1969</w:t>
            </w:r>
            <w:r w:rsid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="0035342B"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282B68"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tradi-praticien</w:t>
            </w:r>
            <w:r w:rsid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  <w:p w14:paraId="212601A3" w14:textId="00880D40" w:rsidR="00D456F3" w:rsidRPr="009D724E" w:rsidRDefault="0010493B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Pierre  Coly  né en 1971,</w:t>
            </w:r>
            <w:r w:rsidRPr="0010493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tradi-praticien</w:t>
            </w:r>
            <w:r w:rsidR="00282B68" w:rsidRP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  <w:p w14:paraId="02AB979E" w14:textId="0EC34C6C" w:rsidR="00B9033B" w:rsidRPr="009D724E" w:rsidRDefault="000F783C" w:rsidP="00432578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En  dehors </w:t>
            </w:r>
            <w:r w:rsidR="00130BC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leur  act</w:t>
            </w:r>
            <w:r w:rsidR="002E2AB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ivité principale qui est le paj</w:t>
            </w:r>
            <w:r w:rsidR="00130BC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</w:t>
            </w:r>
            <w:r w:rsidR="00B903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Ils</w:t>
            </w:r>
            <w:r w:rsidR="00710F1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B903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442B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sont éleveurs et  paysans</w:t>
            </w:r>
          </w:p>
        </w:tc>
      </w:tr>
      <w:tr w:rsidR="00C92ED6" w:rsidRPr="00A4554A" w14:paraId="4620040D" w14:textId="77777777" w:rsidTr="002D3950">
        <w:tc>
          <w:tcPr>
            <w:tcW w:w="562" w:type="dxa"/>
            <w:shd w:val="clear" w:color="auto" w:fill="auto"/>
          </w:tcPr>
          <w:p w14:paraId="4D023BC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2.2.</w:t>
            </w:r>
          </w:p>
        </w:tc>
        <w:tc>
          <w:tcPr>
            <w:tcW w:w="9144" w:type="dxa"/>
            <w:shd w:val="clear" w:color="auto" w:fill="auto"/>
          </w:tcPr>
          <w:p w14:paraId="66934D9D" w14:textId="77777777" w:rsidR="00C92ED6" w:rsidRPr="009D724E" w:rsidRDefault="00C92ED6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6BCEEA98" w14:textId="73336CF6" w:rsidR="00DC1766" w:rsidRPr="009D724E" w:rsidRDefault="00250895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Un enfant innocent</w:t>
            </w:r>
            <w:r w:rsidR="00944A6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c’est-à-dire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7312BF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(garçon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ou fille qui </w:t>
            </w:r>
            <w:r w:rsidR="007312BF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n’a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383926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jamais eu </w:t>
            </w:r>
            <w:r w:rsidR="002E531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relation sexuel</w:t>
            </w:r>
            <w:r w:rsidR="00944A6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qui aide à la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préparation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remèdes</w:t>
            </w:r>
            <w:r w:rsidR="00201117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9637E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à piler  des racines.</w:t>
            </w:r>
          </w:p>
          <w:p w14:paraId="69BB00F1" w14:textId="77777777" w:rsidR="006A58D7" w:rsidRPr="009D724E" w:rsidRDefault="006A58D7" w:rsidP="00432578">
            <w:pPr>
              <w:spacing w:before="80" w:after="0"/>
              <w:ind w:left="113" w:righ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72E022D1" w14:textId="77777777" w:rsidTr="002D3950">
        <w:tc>
          <w:tcPr>
            <w:tcW w:w="562" w:type="dxa"/>
            <w:shd w:val="clear" w:color="auto" w:fill="auto"/>
          </w:tcPr>
          <w:p w14:paraId="55485325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2.3.</w:t>
            </w:r>
          </w:p>
        </w:tc>
        <w:tc>
          <w:tcPr>
            <w:tcW w:w="9144" w:type="dxa"/>
            <w:shd w:val="clear" w:color="auto" w:fill="auto"/>
          </w:tcPr>
          <w:p w14:paraId="52AA85E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Langue(s) ou registre(s) de langue utilisée(s)</w:t>
            </w:r>
          </w:p>
        </w:tc>
      </w:tr>
      <w:tr w:rsidR="00C92ED6" w:rsidRPr="00A4554A" w14:paraId="759A4B1D" w14:textId="77777777" w:rsidTr="002D3950">
        <w:tc>
          <w:tcPr>
            <w:tcW w:w="562" w:type="dxa"/>
            <w:shd w:val="clear" w:color="auto" w:fill="auto"/>
          </w:tcPr>
          <w:p w14:paraId="1BA4B0B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2.4.</w:t>
            </w:r>
          </w:p>
        </w:tc>
        <w:tc>
          <w:tcPr>
            <w:tcW w:w="9144" w:type="dxa"/>
            <w:shd w:val="clear" w:color="auto" w:fill="auto"/>
          </w:tcPr>
          <w:p w14:paraId="684CEDAB" w14:textId="77777777" w:rsidR="00C92ED6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14:paraId="75579509" w14:textId="5036E05F" w:rsidR="002E2AB3" w:rsidRPr="009D724E" w:rsidRDefault="00CF50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Les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éléments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matériels qui sont itulisé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s  </w:t>
            </w:r>
            <w:r w:rsidR="0096066F">
              <w:rPr>
                <w:rFonts w:asciiTheme="majorHAnsi" w:hAnsiTheme="majorHAnsi"/>
                <w:snapToGrid/>
                <w:szCs w:val="22"/>
                <w:lang w:val="fr-FR" w:eastAsia="fr-FR"/>
              </w:rPr>
              <w:t>durant</w:t>
            </w:r>
            <w:r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les processions sont :</w:t>
            </w:r>
          </w:p>
          <w:p w14:paraId="702A3D10" w14:textId="08513991" w:rsidR="007F4530" w:rsidRDefault="0096066F" w:rsidP="007F4530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La c</w:t>
            </w:r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alebasse (</w:t>
            </w:r>
            <w:r w:rsidR="00185B6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« </w:t>
            </w:r>
            <w:proofErr w:type="spellStart"/>
            <w:r w:rsidR="00FE4D8F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mbàtt</w:t>
            </w:r>
            <w:r w:rsidR="00235F53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u</w:t>
            </w:r>
            <w:proofErr w:type="spellEnd"/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</w:t>
            </w:r>
            <w:proofErr w:type="spellStart"/>
            <w:r w:rsidR="00FE4D8F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le</w:t>
            </w:r>
            <w:r w:rsidR="00235F53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ke</w:t>
            </w:r>
            <w:r w:rsidR="00235F5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</w:t>
            </w:r>
            <w:proofErr w:type="spellEnd"/>
            <w:r w:rsidR="00185B6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 »</w:t>
            </w:r>
            <w:r w:rsidR="00114A5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  <w:r w:rsidR="00FD5C4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les</w:t>
            </w:r>
            <w:r w:rsidR="003404A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racines, les c</w:t>
            </w:r>
            <w:r w:rsidR="003838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ornes</w:t>
            </w:r>
            <w:r w:rsidR="003404A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d’</w:t>
            </w:r>
            <w:r w:rsidR="00FD5C4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animaux, les os, du </w:t>
            </w:r>
            <w:r w:rsidR="007468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sable</w:t>
            </w:r>
            <w:r w:rsidR="000B0E0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les </w:t>
            </w:r>
            <w:r w:rsidR="007E32F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</w:t>
            </w:r>
            <w:r w:rsidR="000D57D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euilles 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 (¨</w:t>
            </w:r>
            <w:proofErr w:type="spellStart"/>
            <w:r w:rsidR="00FE4D8F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nge</w:t>
            </w:r>
            <w:r w:rsidR="000D57DE" w:rsidRPr="000D57D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er</w:t>
            </w:r>
            <w:proofErr w:type="spellEnd"/>
            <w:r w:rsidR="00312A10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¨</w:t>
            </w:r>
            <w:r w:rsidR="000B0E0B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 xml:space="preserve">), </w:t>
            </w:r>
            <w:r w:rsidR="00A03498" w:rsidRP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un</w:t>
            </w:r>
            <w:r w:rsidR="00A03498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oupe</w:t>
            </w:r>
            <w:r w:rsidR="00F31886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–</w:t>
            </w:r>
            <w:r w:rsidR="00114A5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coupe</w:t>
            </w:r>
            <w:r w:rsidR="00A0349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des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pierres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lisse,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 nid</w:t>
            </w:r>
            <w:r w:rsidR="00355B2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</w:t>
            </w:r>
            <w:r w:rsidR="007F453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guêpe, des épines ou</w:t>
            </w:r>
            <w:r w:rsidR="008663F4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(</w:t>
            </w:r>
            <w:r w:rsidR="007F453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« </w:t>
            </w:r>
            <w:proofErr w:type="spellStart"/>
            <w:r w:rsidR="007F4530" w:rsidRPr="009D724E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Nepantaan</w:t>
            </w:r>
            <w:proofErr w:type="spellEnd"/>
            <w:r w:rsidR="007F4530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 </w:t>
            </w:r>
            <w:r w:rsidR="008663F4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»)</w:t>
            </w:r>
          </w:p>
          <w:p w14:paraId="181B97C6" w14:textId="77777777" w:rsidR="00043044" w:rsidRPr="009D724E" w:rsidRDefault="00043044" w:rsidP="008663F4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03065CB9" w14:textId="77777777" w:rsidTr="002D3950">
        <w:tc>
          <w:tcPr>
            <w:tcW w:w="562" w:type="dxa"/>
            <w:shd w:val="clear" w:color="auto" w:fill="auto"/>
          </w:tcPr>
          <w:p w14:paraId="3B407C9D" w14:textId="45549E3D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2.5.</w:t>
            </w:r>
          </w:p>
        </w:tc>
        <w:tc>
          <w:tcPr>
            <w:tcW w:w="9144" w:type="dxa"/>
            <w:shd w:val="clear" w:color="auto" w:fill="auto"/>
          </w:tcPr>
          <w:p w14:paraId="05FA529F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14:paraId="33F96E39" w14:textId="64F5A329" w:rsidR="001A57F1" w:rsidRPr="009D724E" w:rsidRDefault="00B2767D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incantations et prières sont prononcées avant de commencer la pratique.</w:t>
            </w:r>
          </w:p>
        </w:tc>
      </w:tr>
      <w:tr w:rsidR="00C92ED6" w:rsidRPr="00A4554A" w14:paraId="6D138D37" w14:textId="77777777" w:rsidTr="002D3950">
        <w:tc>
          <w:tcPr>
            <w:tcW w:w="562" w:type="dxa"/>
            <w:shd w:val="clear" w:color="auto" w:fill="auto"/>
          </w:tcPr>
          <w:p w14:paraId="261FDAC8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2.6.</w:t>
            </w:r>
          </w:p>
        </w:tc>
        <w:tc>
          <w:tcPr>
            <w:tcW w:w="9144" w:type="dxa"/>
            <w:shd w:val="clear" w:color="auto" w:fill="auto"/>
          </w:tcPr>
          <w:p w14:paraId="6809A6B4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14:paraId="7D971312" w14:textId="77777777" w:rsidR="005A04BB" w:rsidRPr="009D724E" w:rsidRDefault="005A04B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</w:p>
          <w:p w14:paraId="6DD9A5AC" w14:textId="4B83AFDD" w:rsidR="007F6518" w:rsidRPr="000A6135" w:rsidRDefault="00A43FB8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Initiation progressive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 : </w:t>
            </w:r>
            <w:r w:rsidR="007F6518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enfants prédisposés à la voyance</w:t>
            </w:r>
            <w:r w:rsidR="00280A4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au paj</w:t>
            </w:r>
            <w:r w:rsidR="007F6518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sont de plus en plus encouragés à la pratique. Ils sont initiés petit à petit en 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se faisant envoyer</w:t>
            </w:r>
            <w:r w:rsidR="007F6518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chercher des racines ou des feuilles.</w:t>
            </w:r>
            <w:r w:rsidR="00666677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Il</w:t>
            </w:r>
            <w:r w:rsidR="00666677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s ont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ainsi </w:t>
            </w:r>
            <w:r w:rsidR="00666677" w:rsidRPr="000A613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les prédispositions pour se protéger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eux-mêmes.</w:t>
            </w:r>
          </w:p>
          <w:p w14:paraId="42ACF2CE" w14:textId="25955B3B" w:rsidR="00A43FB8" w:rsidRPr="000A6135" w:rsidRDefault="00A43FB8" w:rsidP="00FE4D8F">
            <w:pPr>
              <w:spacing w:before="80" w:after="0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</w:p>
          <w:p w14:paraId="2F18FFA1" w14:textId="0E170203" w:rsidR="00CC4FE7" w:rsidRPr="009D724E" w:rsidRDefault="00CC4FE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21A07285" w14:textId="77777777" w:rsidTr="002D3950">
        <w:tc>
          <w:tcPr>
            <w:tcW w:w="562" w:type="dxa"/>
            <w:shd w:val="clear" w:color="auto" w:fill="auto"/>
          </w:tcPr>
          <w:p w14:paraId="221D6CF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2.7.</w:t>
            </w:r>
          </w:p>
        </w:tc>
        <w:tc>
          <w:tcPr>
            <w:tcW w:w="9144" w:type="dxa"/>
            <w:shd w:val="clear" w:color="auto" w:fill="auto"/>
          </w:tcPr>
          <w:p w14:paraId="21376B52" w14:textId="77777777" w:rsidR="005A04BB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Modes de transmission aux autres membres de la communauté</w:t>
            </w:r>
          </w:p>
          <w:p w14:paraId="212A17A6" w14:textId="77777777" w:rsidR="005A04BB" w:rsidRPr="009D724E" w:rsidRDefault="005A04BB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Le principal mode de transmission est </w:t>
            </w:r>
            <w:r w:rsidR="00FC19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l’apprentissage. Cependant  certains sont nés avec des prédispositions de voyant et de </w:t>
            </w:r>
            <w:r w:rsidR="007E1BC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</w:t>
            </w:r>
            <w:r w:rsidR="00FC19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5DEB2968" w14:textId="32AF2896" w:rsidR="009C0AF9" w:rsidRPr="009D724E" w:rsidRDefault="009C0AF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</w:p>
        </w:tc>
      </w:tr>
      <w:tr w:rsidR="00C92ED6" w:rsidRPr="00A4554A" w14:paraId="17691B9D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2.8.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38906B17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Organisations concernées (organisations communautaires, ONG ou autres, le cas échéant)</w:t>
            </w:r>
          </w:p>
        </w:tc>
      </w:tr>
      <w:tr w:rsidR="00C92ED6" w:rsidRPr="00A4554A" w14:paraId="392EF967" w14:textId="77777777" w:rsidTr="002D3950">
        <w:tc>
          <w:tcPr>
            <w:tcW w:w="562" w:type="dxa"/>
            <w:shd w:val="clear" w:color="auto" w:fill="F2F2F2"/>
          </w:tcPr>
          <w:p w14:paraId="365509B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3.</w:t>
            </w:r>
          </w:p>
        </w:tc>
        <w:tc>
          <w:tcPr>
            <w:tcW w:w="9144" w:type="dxa"/>
            <w:shd w:val="clear" w:color="auto" w:fill="F2F2F2"/>
          </w:tcPr>
          <w:p w14:paraId="776357DF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4554A" w14:paraId="304EC001" w14:textId="77777777" w:rsidTr="002D3950">
        <w:tc>
          <w:tcPr>
            <w:tcW w:w="562" w:type="dxa"/>
            <w:shd w:val="clear" w:color="auto" w:fill="auto"/>
          </w:tcPr>
          <w:p w14:paraId="5A22B3C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3.1.</w:t>
            </w:r>
          </w:p>
        </w:tc>
        <w:tc>
          <w:tcPr>
            <w:tcW w:w="9144" w:type="dxa"/>
            <w:shd w:val="clear" w:color="auto" w:fill="auto"/>
          </w:tcPr>
          <w:p w14:paraId="7E3965EC" w14:textId="77777777" w:rsidR="00C92ED6" w:rsidRPr="009D724E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0E827196" w14:textId="1B259FEB" w:rsidR="00DC6EB9" w:rsidRPr="009D724E" w:rsidRDefault="00DC6EB9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calomnie à l’ endroit des </w:t>
            </w:r>
            <w:r w:rsidR="00DA164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guérisseurs</w:t>
            </w:r>
            <w:r w:rsidR="0045030C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qui sont souvent associés 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à des 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féticheurs,</w:t>
            </w:r>
            <w:r w:rsidR="00B81B9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illusionnistes 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</w:t>
            </w:r>
            <w:r w:rsidR="00B81B95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ur certains</w:t>
            </w:r>
            <w:r w:rsidR="005F426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membres de la communauté</w:t>
            </w:r>
          </w:p>
          <w:p w14:paraId="097A638A" w14:textId="794DCFC9" w:rsidR="00DA1648" w:rsidRPr="00237C1E" w:rsidRDefault="002D3950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religieux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dénigre</w:t>
            </w:r>
            <w:r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nt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aussi les </w:t>
            </w:r>
            <w:r w:rsidR="00731C81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guérisseurs</w:t>
            </w:r>
            <w:r w:rsidR="00463F09" w:rsidRPr="00237C1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en associant</w:t>
            </w:r>
            <w:r w:rsidR="005A6A0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leu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rs pratiques mystiques 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au satanisme.</w:t>
            </w:r>
          </w:p>
          <w:p w14:paraId="00574DC2" w14:textId="0A468A23" w:rsidR="00DA1648" w:rsidRPr="009D724E" w:rsidRDefault="00DA1648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5055E060" w14:textId="77777777" w:rsidTr="002D3950">
        <w:tc>
          <w:tcPr>
            <w:tcW w:w="562" w:type="dxa"/>
            <w:shd w:val="clear" w:color="auto" w:fill="auto"/>
          </w:tcPr>
          <w:p w14:paraId="5828A681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3.2.</w:t>
            </w:r>
          </w:p>
        </w:tc>
        <w:tc>
          <w:tcPr>
            <w:tcW w:w="9144" w:type="dxa"/>
            <w:shd w:val="clear" w:color="auto" w:fill="auto"/>
          </w:tcPr>
          <w:p w14:paraId="45245896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éventuelles sur la transmission de l’élément dans la (les) communauté(s) concernée(s)</w:t>
            </w:r>
          </w:p>
          <w:p w14:paraId="1D8562C0" w14:textId="4ABE3947" w:rsidR="007D56D7" w:rsidRPr="009D724E" w:rsidRDefault="007D56D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Certains jeunes sont réticents </w:t>
            </w:r>
            <w:r w:rsidR="00FE4D8F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face à l’exercice d</w:t>
            </w:r>
            <w:r w:rsidR="00731C81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 métier de guérisseur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et préfèrent</w:t>
            </w:r>
            <w:r w:rsidR="00F60BCA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faire autre chose.</w:t>
            </w:r>
            <w:r w:rsidR="00985DD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D2703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5DC4B55B" w14:textId="380B5FB6" w:rsidR="00511939" w:rsidRPr="009D724E" w:rsidRDefault="0051193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propagande des personnes </w:t>
            </w:r>
            <w:r w:rsidR="00BD4ABC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réfractaires à la pratique qui décourage les jeunes </w:t>
            </w:r>
          </w:p>
          <w:p w14:paraId="2A88774F" w14:textId="1CCFFAA8" w:rsidR="009C0AF9" w:rsidRPr="009D724E" w:rsidRDefault="009C0AF9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3731F716" w14:textId="77777777" w:rsidTr="002D3950">
        <w:tc>
          <w:tcPr>
            <w:tcW w:w="562" w:type="dxa"/>
            <w:shd w:val="clear" w:color="auto" w:fill="auto"/>
          </w:tcPr>
          <w:p w14:paraId="098D921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3.3.</w:t>
            </w:r>
          </w:p>
        </w:tc>
        <w:tc>
          <w:tcPr>
            <w:tcW w:w="9144" w:type="dxa"/>
            <w:shd w:val="clear" w:color="auto" w:fill="auto"/>
          </w:tcPr>
          <w:p w14:paraId="75E8CAD6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6D7B769F" w14:textId="77777777" w:rsidR="00D47785" w:rsidRPr="009D724E" w:rsidRDefault="00D47785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déforestation </w:t>
            </w:r>
            <w:r w:rsidR="00E5425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causée par 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la surexploitation des ressources </w:t>
            </w:r>
            <w:r w:rsidR="005E75A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(feuilles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racines, </w:t>
            </w:r>
            <w:r w:rsidR="005E75A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écorces</w:t>
            </w:r>
            <w:r w:rsidR="007D442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…)</w:t>
            </w:r>
          </w:p>
          <w:p w14:paraId="1729BC85" w14:textId="74A7D425" w:rsidR="00446B08" w:rsidRPr="009D724E" w:rsidRDefault="00446B08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La commercialisation</w:t>
            </w:r>
            <w:r w:rsidR="0006643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à grande échelle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ces ressources </w:t>
            </w:r>
            <w:r w:rsidR="004659F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provoque une disparition de certaines espèces</w:t>
            </w:r>
            <w:r w:rsidR="005302AB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0D6B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d’arbre</w:t>
            </w:r>
            <w:r w:rsidR="00B45A14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la nature</w:t>
            </w:r>
            <w:r w:rsidR="000D6B41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.</w:t>
            </w:r>
          </w:p>
        </w:tc>
      </w:tr>
      <w:tr w:rsidR="00C92ED6" w:rsidRPr="00A4554A" w14:paraId="073551B6" w14:textId="77777777" w:rsidTr="002D3950">
        <w:trPr>
          <w:trHeight w:val="641"/>
        </w:trPr>
        <w:tc>
          <w:tcPr>
            <w:tcW w:w="562" w:type="dxa"/>
            <w:shd w:val="clear" w:color="auto" w:fill="auto"/>
          </w:tcPr>
          <w:p w14:paraId="12E0C662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3.4.</w:t>
            </w:r>
          </w:p>
        </w:tc>
        <w:tc>
          <w:tcPr>
            <w:tcW w:w="9144" w:type="dxa"/>
            <w:shd w:val="clear" w:color="auto" w:fill="auto"/>
          </w:tcPr>
          <w:p w14:paraId="54276AB4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Viabilité des autres éléments du patrimoine immatériel (le cas échéant) associés à l’élément du PCI</w:t>
            </w:r>
          </w:p>
        </w:tc>
      </w:tr>
      <w:tr w:rsidR="00C92ED6" w:rsidRPr="00A4554A" w14:paraId="0D6C443A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3.5.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3DB3EB74" w14:textId="77777777" w:rsidR="00C92ED6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33DB40A5" w14:textId="67B69648" w:rsidR="00832961" w:rsidRPr="00F66187" w:rsidRDefault="00832961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F6618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Pour faire face </w:t>
            </w:r>
            <w:r w:rsidR="00F66187" w:rsidRPr="00F66187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à ces menaces qui pèsent sur la transmission de l’element des mesures de sauvegarde sont proposées par les praticiens</w:t>
            </w:r>
            <w:r w:rsid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à savoir :</w:t>
            </w:r>
          </w:p>
          <w:p w14:paraId="1EBAA9E7" w14:textId="1D22E222" w:rsidR="00F60858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r</w:t>
            </w:r>
            <w:r w:rsidR="004D1499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assembler tous les guérisseurs  dans un</w:t>
            </w:r>
            <w:r w:rsidR="00D353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seul </w:t>
            </w:r>
            <w:r w:rsidR="004D1499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site</w:t>
            </w:r>
            <w:r w:rsidR="00D353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afin de promouvoir la pratique et d’unir les forces</w:t>
            </w:r>
          </w:p>
          <w:p w14:paraId="5C2CF650" w14:textId="75032A33" w:rsidR="00EE1E3F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</w:t>
            </w:r>
            <w:r w:rsidR="00F8673B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ider à la </w:t>
            </w:r>
            <w:r w:rsidR="00EE1E3F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clôture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des sites octroyés par l’Etat</w:t>
            </w:r>
            <w:r w:rsidR="00F8673B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pour une</w:t>
            </w:r>
            <w:r w:rsidR="00EE1E3F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redynamisa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tion des activités liées au paj</w:t>
            </w:r>
          </w:p>
          <w:p w14:paraId="5F63C4AB" w14:textId="17048E1F" w:rsidR="00D35315" w:rsidRPr="00A33D89" w:rsidRDefault="00A33D89" w:rsidP="00A33D89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/>
                <w:b/>
                <w:i/>
                <w:snapToGrid/>
                <w:color w:val="FF0000"/>
                <w:szCs w:val="22"/>
                <w:lang w:val="fr-FR" w:eastAsia="fr-FR"/>
              </w:rPr>
            </w:pPr>
            <w:r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l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e reboisement</w:t>
            </w:r>
            <w:r w:rsidR="002C6CCD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massif 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de certaines es</w:t>
            </w:r>
            <w:r w:rsidR="00751B15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pèces primordiales pour le paj</w:t>
            </w:r>
            <w:r w:rsidR="0064030A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2C6CCD" w:rsidRPr="00A33D8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comme le « </w:t>
            </w:r>
            <w:r w:rsidR="002C6CCD" w:rsidRPr="00A33D89">
              <w:rPr>
                <w:rFonts w:asciiTheme="majorHAnsi" w:hAnsiTheme="majorHAnsi"/>
                <w:b/>
                <w:i/>
                <w:snapToGrid/>
                <w:szCs w:val="22"/>
                <w:lang w:val="fr-FR" w:eastAsia="fr-FR"/>
              </w:rPr>
              <w:t>ngologn »</w:t>
            </w:r>
          </w:p>
          <w:p w14:paraId="5DB89656" w14:textId="6690EFDC" w:rsidR="00D35315" w:rsidRPr="009D724E" w:rsidRDefault="00D35315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682003BF" w14:textId="77777777" w:rsidTr="002D3950">
        <w:tc>
          <w:tcPr>
            <w:tcW w:w="562" w:type="dxa"/>
            <w:shd w:val="clear" w:color="auto" w:fill="F2F2F2"/>
          </w:tcPr>
          <w:p w14:paraId="0D821687" w14:textId="43F23DF8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4.</w:t>
            </w:r>
          </w:p>
        </w:tc>
        <w:tc>
          <w:tcPr>
            <w:tcW w:w="9144" w:type="dxa"/>
            <w:shd w:val="clear" w:color="auto" w:fill="F2F2F2"/>
          </w:tcPr>
          <w:p w14:paraId="52A6E806" w14:textId="77777777" w:rsidR="00C92ED6" w:rsidRPr="009D724E" w:rsidRDefault="00F25AE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ACCES RESTREINT AUX DONNEES ET AUTORISATIONS</w:t>
            </w:r>
            <w:r w:rsidR="00C92ED6"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A4554A" w14:paraId="01327025" w14:textId="77777777" w:rsidTr="002D3950">
        <w:tc>
          <w:tcPr>
            <w:tcW w:w="562" w:type="dxa"/>
            <w:shd w:val="clear" w:color="auto" w:fill="auto"/>
          </w:tcPr>
          <w:p w14:paraId="2F3CA0DC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4.1.</w:t>
            </w:r>
          </w:p>
        </w:tc>
        <w:tc>
          <w:tcPr>
            <w:tcW w:w="9144" w:type="dxa"/>
            <w:shd w:val="clear" w:color="auto" w:fill="auto"/>
          </w:tcPr>
          <w:p w14:paraId="46B68EF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Consentement et participation de la (des) communauté(s) concernée(s) au recueil des données</w:t>
            </w:r>
          </w:p>
          <w:p w14:paraId="4BB8B6EA" w14:textId="77777777" w:rsidR="00C87CA7" w:rsidRPr="009D724E" w:rsidRDefault="00C87CA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Consentement et participat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ion acquis auprès de la communauté </w:t>
            </w:r>
          </w:p>
          <w:p w14:paraId="43F3F608" w14:textId="37C2EADB" w:rsidR="002144CA" w:rsidRPr="009D724E" w:rsidRDefault="002144C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A4554A" w14:paraId="1C72236F" w14:textId="77777777" w:rsidTr="002D3950">
        <w:tc>
          <w:tcPr>
            <w:tcW w:w="562" w:type="dxa"/>
            <w:shd w:val="clear" w:color="auto" w:fill="auto"/>
          </w:tcPr>
          <w:p w14:paraId="0704E9C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4.2.</w:t>
            </w:r>
          </w:p>
        </w:tc>
        <w:tc>
          <w:tcPr>
            <w:tcW w:w="9144" w:type="dxa"/>
            <w:shd w:val="clear" w:color="auto" w:fill="auto"/>
          </w:tcPr>
          <w:p w14:paraId="084E034E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Restrictions et autorisations concernant les données</w:t>
            </w:r>
          </w:p>
          <w:p w14:paraId="628827F7" w14:textId="74EE5175" w:rsidR="002144CA" w:rsidRPr="009D724E" w:rsidRDefault="002D3950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Il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C7548D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n’y</w:t>
            </w:r>
            <w:r w:rsidR="00985CA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a</w:t>
            </w:r>
            <w:r w:rsidR="002144C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</w:t>
            </w:r>
            <w:r w:rsidR="00985CA9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as eu de restriction concernant les donnes</w:t>
            </w:r>
          </w:p>
        </w:tc>
      </w:tr>
      <w:tr w:rsidR="00C92ED6" w:rsidRPr="00DC4F09" w14:paraId="0AAA9234" w14:textId="77777777" w:rsidTr="002D3950">
        <w:tc>
          <w:tcPr>
            <w:tcW w:w="562" w:type="dxa"/>
            <w:shd w:val="clear" w:color="auto" w:fill="auto"/>
          </w:tcPr>
          <w:p w14:paraId="61C61C4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4.3.</w:t>
            </w:r>
          </w:p>
        </w:tc>
        <w:tc>
          <w:tcPr>
            <w:tcW w:w="9144" w:type="dxa"/>
            <w:shd w:val="clear" w:color="auto" w:fill="auto"/>
          </w:tcPr>
          <w:p w14:paraId="3C014780" w14:textId="77777777" w:rsidR="00C92ED6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Personne(s) ressource(s) : nom et statut </w:t>
            </w:r>
          </w:p>
          <w:p w14:paraId="00DF7184" w14:textId="207F6DF9" w:rsidR="005C1122" w:rsidRPr="009D724E" w:rsidRDefault="005C1122" w:rsidP="005C1122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Georges Victor</w:t>
            </w: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Ndione</w:t>
            </w:r>
            <w:proofErr w:type="spellEnd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</w:t>
            </w:r>
            <w:proofErr w:type="spellEnd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-praticien, voyant</w:t>
            </w:r>
          </w:p>
          <w:p w14:paraId="17127E51" w14:textId="547B612D" w:rsidR="005C1122" w:rsidRPr="009D724E" w:rsidRDefault="005C1122" w:rsidP="005C1122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François </w:t>
            </w: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Auguste </w:t>
            </w:r>
            <w:proofErr w:type="spellStart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Ndione</w:t>
            </w:r>
            <w:proofErr w:type="spellEnd"/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proofErr w:type="spellStart"/>
            <w:r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</w:t>
            </w:r>
            <w:proofErr w:type="spellEnd"/>
            <w:r w:rsidRPr="0035342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-praticien</w:t>
            </w: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  <w:p w14:paraId="0838EB61" w14:textId="73D351A8" w:rsidR="00C7548D" w:rsidRPr="008C27AF" w:rsidRDefault="008C27AF" w:rsidP="008C27AF">
            <w:pPr>
              <w:spacing w:after="0"/>
              <w:ind w:left="113" w:righ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Pierre</w:t>
            </w:r>
            <w:r w:rsidR="005C1122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proofErr w:type="spellStart"/>
            <w:r w:rsidR="005C1122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Coly</w:t>
            </w:r>
            <w:proofErr w:type="spellEnd"/>
            <w:r w:rsidR="005C1122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</w:t>
            </w:r>
            <w:r w:rsidR="005C1122" w:rsidRPr="0010493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proofErr w:type="spellStart"/>
            <w:r w:rsidR="005C1122" w:rsidRPr="0010493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tradi</w:t>
            </w:r>
            <w:proofErr w:type="spellEnd"/>
            <w:r w:rsidR="005C1122" w:rsidRPr="0010493B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-praticien</w:t>
            </w:r>
            <w:r w:rsidR="005C1122" w:rsidRPr="00282B68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voyant</w:t>
            </w:r>
          </w:p>
        </w:tc>
      </w:tr>
      <w:tr w:rsidR="00C92ED6" w:rsidRPr="00A4554A" w14:paraId="1E22746D" w14:textId="77777777" w:rsidTr="002D395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4.4.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66A6C1C1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Date(s) et lieu(x) de recueil des données</w:t>
            </w:r>
          </w:p>
          <w:p w14:paraId="36596272" w14:textId="31D1893E" w:rsidR="00C7548D" w:rsidRPr="009D724E" w:rsidRDefault="008C56B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Vendredi  03 Mai 2019  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à Thialy  - Thiè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</w:t>
            </w:r>
          </w:p>
        </w:tc>
      </w:tr>
      <w:tr w:rsidR="00C92ED6" w:rsidRPr="00A4554A" w14:paraId="7FC8997F" w14:textId="77777777" w:rsidTr="002D3950">
        <w:tc>
          <w:tcPr>
            <w:tcW w:w="562" w:type="dxa"/>
            <w:shd w:val="clear" w:color="auto" w:fill="F2F2F2"/>
          </w:tcPr>
          <w:p w14:paraId="2AD9383D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5.</w:t>
            </w:r>
          </w:p>
        </w:tc>
        <w:tc>
          <w:tcPr>
            <w:tcW w:w="9144" w:type="dxa"/>
            <w:shd w:val="clear" w:color="auto" w:fill="F2F2F2"/>
          </w:tcPr>
          <w:p w14:paraId="6A4F504D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4554A" w14:paraId="1EF67487" w14:textId="77777777" w:rsidTr="002D3950">
        <w:tc>
          <w:tcPr>
            <w:tcW w:w="562" w:type="dxa"/>
            <w:shd w:val="clear" w:color="auto" w:fill="auto"/>
          </w:tcPr>
          <w:p w14:paraId="4DB5A32F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5.1.</w:t>
            </w:r>
          </w:p>
        </w:tc>
        <w:tc>
          <w:tcPr>
            <w:tcW w:w="9144" w:type="dxa"/>
            <w:shd w:val="clear" w:color="auto" w:fill="auto"/>
          </w:tcPr>
          <w:p w14:paraId="500914B3" w14:textId="77777777" w:rsidR="00C92ED6" w:rsidRPr="009D724E" w:rsidRDefault="00172A30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Monographies / Manuscrits</w:t>
            </w:r>
            <w:r w:rsidR="00A16589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conservés dans des bibliothèques, librairies ou détenus par des particuliers</w:t>
            </w:r>
          </w:p>
          <w:p w14:paraId="4C421A44" w14:textId="4061DD96" w:rsidR="00DA2BF7" w:rsidRPr="009D724E" w:rsidRDefault="00DA2BF7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Des nombreuses  études ont été faites sur le sujet</w:t>
            </w:r>
            <w:r w:rsidR="004A21F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mais les informateurs </w:t>
            </w:r>
            <w:r w:rsidR="004F77EA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n’ont</w:t>
            </w:r>
            <w:r w:rsidR="004A21F8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pas eu des retours sur </w:t>
            </w:r>
            <w:r w:rsidR="00976C5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ces études</w:t>
            </w:r>
          </w:p>
        </w:tc>
      </w:tr>
      <w:tr w:rsidR="00C92ED6" w:rsidRPr="00A4554A" w14:paraId="4BF5BCC5" w14:textId="77777777" w:rsidTr="002D3950">
        <w:tc>
          <w:tcPr>
            <w:tcW w:w="562" w:type="dxa"/>
            <w:shd w:val="clear" w:color="auto" w:fill="auto"/>
          </w:tcPr>
          <w:p w14:paraId="6FE12001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5.2.</w:t>
            </w:r>
          </w:p>
        </w:tc>
        <w:tc>
          <w:tcPr>
            <w:tcW w:w="9144" w:type="dxa"/>
            <w:shd w:val="clear" w:color="auto" w:fill="auto"/>
          </w:tcPr>
          <w:p w14:paraId="2A95B2B6" w14:textId="434D245B" w:rsidR="00976C52" w:rsidRPr="00A21080" w:rsidRDefault="00A16589" w:rsidP="00A21080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Enregistrements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audiovisuel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s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conservés dans des archives, musées et collections privées (le cas échéant)</w:t>
            </w:r>
          </w:p>
        </w:tc>
      </w:tr>
      <w:tr w:rsidR="00C92ED6" w:rsidRPr="00A4554A" w14:paraId="043971B4" w14:textId="77777777" w:rsidTr="002D3950">
        <w:tc>
          <w:tcPr>
            <w:tcW w:w="562" w:type="dxa"/>
            <w:shd w:val="clear" w:color="auto" w:fill="auto"/>
          </w:tcPr>
          <w:p w14:paraId="2D57A470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5.3.</w:t>
            </w:r>
          </w:p>
        </w:tc>
        <w:tc>
          <w:tcPr>
            <w:tcW w:w="9144" w:type="dxa"/>
            <w:shd w:val="clear" w:color="auto" w:fill="auto"/>
          </w:tcPr>
          <w:p w14:paraId="164C327C" w14:textId="6E218017" w:rsidR="00C92ED6" w:rsidRPr="009D724E" w:rsidRDefault="00A16589" w:rsidP="00432578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O</w:t>
            </w:r>
            <w:r w:rsidR="00C92ED6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C92ED6" w:rsidRPr="009D724E" w14:paraId="54EFB5FC" w14:textId="77777777" w:rsidTr="002D3950">
        <w:tc>
          <w:tcPr>
            <w:tcW w:w="562" w:type="dxa"/>
            <w:shd w:val="clear" w:color="auto" w:fill="F2F2F2"/>
          </w:tcPr>
          <w:p w14:paraId="2ACBB1C7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zCs w:val="22"/>
                <w:lang w:val="fr-FR" w:eastAsia="fr-FR"/>
              </w:rPr>
              <w:t>6.</w:t>
            </w:r>
          </w:p>
        </w:tc>
        <w:tc>
          <w:tcPr>
            <w:tcW w:w="9144" w:type="dxa"/>
            <w:shd w:val="clear" w:color="auto" w:fill="F2F2F2"/>
          </w:tcPr>
          <w:p w14:paraId="636FD949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bCs/>
                <w:caps/>
                <w:snapToGrid/>
                <w:szCs w:val="22"/>
                <w:lang w:val="en-GB" w:eastAsia="fr-FR"/>
              </w:rPr>
              <w:t>Données d’inventaire</w:t>
            </w:r>
          </w:p>
        </w:tc>
      </w:tr>
      <w:tr w:rsidR="00C92ED6" w:rsidRPr="00A4554A" w14:paraId="4035D5A2" w14:textId="77777777" w:rsidTr="002D3950">
        <w:tc>
          <w:tcPr>
            <w:tcW w:w="562" w:type="dxa"/>
            <w:shd w:val="clear" w:color="auto" w:fill="auto"/>
          </w:tcPr>
          <w:p w14:paraId="0B25770A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6.1.</w:t>
            </w:r>
          </w:p>
        </w:tc>
        <w:tc>
          <w:tcPr>
            <w:tcW w:w="9144" w:type="dxa"/>
            <w:shd w:val="clear" w:color="auto" w:fill="auto"/>
          </w:tcPr>
          <w:p w14:paraId="057EA0C8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Nom </w:t>
            </w:r>
            <w:r w:rsidR="00F355F4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et contacts 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de la pe</w:t>
            </w:r>
            <w:r w:rsidR="00172A30"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rsonne(s) ayant compilé les données</w:t>
            </w: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 xml:space="preserve"> de l’inventaire</w:t>
            </w:r>
          </w:p>
          <w:p w14:paraId="1EE5AA37" w14:textId="3298CC08" w:rsidR="00B16923" w:rsidRPr="009D724E" w:rsidRDefault="004F77EA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Samba KANDE</w:t>
            </w:r>
            <w:r w:rsidR="00B1692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, Animateur Culturel</w:t>
            </w:r>
            <w:r w:rsidR="005732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CCR/T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</w:t>
            </w:r>
            <w:r w:rsidR="00573213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          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776483904</w:t>
            </w:r>
          </w:p>
          <w:p w14:paraId="37548317" w14:textId="26107716" w:rsidR="004F77EA" w:rsidRPr="009D724E" w:rsidRDefault="00573213" w:rsidP="00573213">
            <w:pPr>
              <w:spacing w:before="80" w:after="0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Sadibo</w:t>
            </w:r>
            <w:r w:rsidR="002D3950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u DABO, Professeur d’histoire et de géographie à la</w:t>
            </w: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retraite   </w:t>
            </w:r>
            <w:r w:rsidR="00FA3442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774309367</w:t>
            </w:r>
          </w:p>
        </w:tc>
      </w:tr>
      <w:tr w:rsidR="00C92ED6" w:rsidRPr="009D724E" w14:paraId="75FB06DF" w14:textId="77777777" w:rsidTr="00A21080">
        <w:trPr>
          <w:trHeight w:val="983"/>
        </w:trPr>
        <w:tc>
          <w:tcPr>
            <w:tcW w:w="562" w:type="dxa"/>
            <w:shd w:val="clear" w:color="auto" w:fill="auto"/>
          </w:tcPr>
          <w:p w14:paraId="6C517E3E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lastRenderedPageBreak/>
              <w:t>6.2.</w:t>
            </w:r>
          </w:p>
        </w:tc>
        <w:tc>
          <w:tcPr>
            <w:tcW w:w="9144" w:type="dxa"/>
            <w:shd w:val="clear" w:color="auto" w:fill="auto"/>
          </w:tcPr>
          <w:p w14:paraId="795A482E" w14:textId="77777777" w:rsidR="00C92ED6" w:rsidRPr="009D724E" w:rsidRDefault="00C92ED6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03FC3082" w:rsidR="006829E5" w:rsidRPr="009D724E" w:rsidRDefault="006829E5" w:rsidP="00432578">
            <w:pPr>
              <w:spacing w:before="80" w:after="0"/>
              <w:ind w:left="113" w:right="57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(Voir consentement écrit</w:t>
            </w:r>
            <w:r w:rsidR="00A66BDE" w:rsidRPr="009D724E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)</w:t>
            </w:r>
          </w:p>
        </w:tc>
      </w:tr>
      <w:tr w:rsidR="00C92ED6" w:rsidRPr="009D724E" w14:paraId="1502BBEA" w14:textId="77777777" w:rsidTr="002D3950">
        <w:tc>
          <w:tcPr>
            <w:tcW w:w="562" w:type="dxa"/>
            <w:shd w:val="clear" w:color="auto" w:fill="auto"/>
          </w:tcPr>
          <w:p w14:paraId="3A43A2BB" w14:textId="77777777" w:rsidR="00C92ED6" w:rsidRPr="009D724E" w:rsidRDefault="00C92ED6" w:rsidP="00432578">
            <w:pPr>
              <w:spacing w:before="80" w:after="0"/>
              <w:jc w:val="righ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zCs w:val="22"/>
                <w:lang w:val="fr-FR" w:eastAsia="fr-FR"/>
              </w:rPr>
              <w:t>6.3.</w:t>
            </w:r>
          </w:p>
        </w:tc>
        <w:tc>
          <w:tcPr>
            <w:tcW w:w="9144" w:type="dxa"/>
            <w:shd w:val="clear" w:color="auto" w:fill="auto"/>
          </w:tcPr>
          <w:p w14:paraId="7CDDAE95" w14:textId="77777777" w:rsidR="00C92ED6" w:rsidRPr="009D724E" w:rsidRDefault="00C92ED6" w:rsidP="00432578">
            <w:pPr>
              <w:spacing w:before="80" w:after="0"/>
              <w:ind w:left="113"/>
              <w:jc w:val="left"/>
              <w:rPr>
                <w:rFonts w:asciiTheme="majorHAnsi" w:hAnsiTheme="majorHAnsi"/>
                <w:snapToGrid/>
                <w:szCs w:val="22"/>
                <w:lang w:val="fr-FR" w:eastAsia="fr-FR"/>
              </w:rPr>
            </w:pPr>
            <w:r w:rsidRPr="009D724E">
              <w:rPr>
                <w:rFonts w:asciiTheme="majorHAnsi" w:hAnsiTheme="majorHAnsi"/>
                <w:snapToGrid/>
                <w:szCs w:val="22"/>
                <w:lang w:val="fr-FR" w:eastAsia="fr-FR"/>
              </w:rPr>
              <w:t>Date d’enregistrement des données à l’inventaire</w:t>
            </w:r>
          </w:p>
          <w:p w14:paraId="4FC6B461" w14:textId="6DE68886" w:rsidR="00A66BDE" w:rsidRPr="001E13D3" w:rsidRDefault="009E74DF" w:rsidP="004A52F5">
            <w:pPr>
              <w:spacing w:before="80" w:after="0"/>
              <w:ind w:left="113"/>
              <w:jc w:val="left"/>
              <w:rPr>
                <w:rFonts w:asciiTheme="majorHAnsi" w:hAnsiTheme="majorHAnsi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MARDI </w:t>
            </w:r>
            <w:r w:rsidR="00AE6620"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>07</w:t>
            </w:r>
            <w:r w:rsidR="004A52F5" w:rsidRPr="001E13D3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Mai 2019</w:t>
            </w:r>
          </w:p>
        </w:tc>
      </w:tr>
    </w:tbl>
    <w:p w14:paraId="37F6E0BC" w14:textId="513F5481" w:rsidR="0043665E" w:rsidRPr="009D724E" w:rsidRDefault="0043665E" w:rsidP="00432578">
      <w:pPr>
        <w:pStyle w:val="Texte1"/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43665E" w:rsidRPr="009D724E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4E091" w14:textId="77777777" w:rsidR="00FC17AC" w:rsidRDefault="00FC17AC" w:rsidP="0043665E">
      <w:pPr>
        <w:spacing w:before="0" w:after="0"/>
      </w:pPr>
      <w:r>
        <w:separator/>
      </w:r>
    </w:p>
  </w:endnote>
  <w:endnote w:type="continuationSeparator" w:id="0">
    <w:p w14:paraId="32870F12" w14:textId="77777777" w:rsidR="00FC17AC" w:rsidRDefault="00FC17AC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DA3F4" w14:textId="77777777" w:rsidR="00FC17AC" w:rsidRDefault="00FC17AC" w:rsidP="0043665E">
      <w:pPr>
        <w:spacing w:before="0" w:after="0"/>
      </w:pPr>
      <w:r>
        <w:separator/>
      </w:r>
    </w:p>
  </w:footnote>
  <w:footnote w:type="continuationSeparator" w:id="0">
    <w:p w14:paraId="3BDE4F85" w14:textId="77777777" w:rsidR="00FC17AC" w:rsidRDefault="00FC17AC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2A2CD9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2A2CD9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AA3"/>
    <w:multiLevelType w:val="hybridMultilevel"/>
    <w:tmpl w:val="4AD06B56"/>
    <w:lvl w:ilvl="0" w:tplc="3C12ED0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13B31"/>
    <w:rsid w:val="000171A5"/>
    <w:rsid w:val="00043044"/>
    <w:rsid w:val="0005191A"/>
    <w:rsid w:val="0006643B"/>
    <w:rsid w:val="00091707"/>
    <w:rsid w:val="000A5D44"/>
    <w:rsid w:val="000A6135"/>
    <w:rsid w:val="000B0E0B"/>
    <w:rsid w:val="000D57DE"/>
    <w:rsid w:val="000D6B41"/>
    <w:rsid w:val="000F6AA5"/>
    <w:rsid w:val="000F783C"/>
    <w:rsid w:val="0010493B"/>
    <w:rsid w:val="00114A5D"/>
    <w:rsid w:val="00130BC9"/>
    <w:rsid w:val="00151607"/>
    <w:rsid w:val="00172A30"/>
    <w:rsid w:val="00182DE5"/>
    <w:rsid w:val="00184690"/>
    <w:rsid w:val="00185B6D"/>
    <w:rsid w:val="001A57F1"/>
    <w:rsid w:val="001A6D77"/>
    <w:rsid w:val="001C2C29"/>
    <w:rsid w:val="001E13D3"/>
    <w:rsid w:val="001F7FE8"/>
    <w:rsid w:val="00201117"/>
    <w:rsid w:val="002144CA"/>
    <w:rsid w:val="00235F53"/>
    <w:rsid w:val="00237C1E"/>
    <w:rsid w:val="00250895"/>
    <w:rsid w:val="0026188F"/>
    <w:rsid w:val="00271DFA"/>
    <w:rsid w:val="00280A4F"/>
    <w:rsid w:val="00282B68"/>
    <w:rsid w:val="00283C24"/>
    <w:rsid w:val="00284583"/>
    <w:rsid w:val="002928AB"/>
    <w:rsid w:val="002A073D"/>
    <w:rsid w:val="002A2CD9"/>
    <w:rsid w:val="002C201C"/>
    <w:rsid w:val="002C3285"/>
    <w:rsid w:val="002C6CCD"/>
    <w:rsid w:val="002D3950"/>
    <w:rsid w:val="002E2AB3"/>
    <w:rsid w:val="002E5312"/>
    <w:rsid w:val="002F0FEB"/>
    <w:rsid w:val="00312A10"/>
    <w:rsid w:val="00321B45"/>
    <w:rsid w:val="003342CA"/>
    <w:rsid w:val="003404A5"/>
    <w:rsid w:val="00342E35"/>
    <w:rsid w:val="00344F1B"/>
    <w:rsid w:val="0035103A"/>
    <w:rsid w:val="0035342B"/>
    <w:rsid w:val="00355B29"/>
    <w:rsid w:val="003753BB"/>
    <w:rsid w:val="00383868"/>
    <w:rsid w:val="00383926"/>
    <w:rsid w:val="003B23ED"/>
    <w:rsid w:val="004234DB"/>
    <w:rsid w:val="00432578"/>
    <w:rsid w:val="0043665E"/>
    <w:rsid w:val="00440987"/>
    <w:rsid w:val="00446B08"/>
    <w:rsid w:val="0045030C"/>
    <w:rsid w:val="00460EF1"/>
    <w:rsid w:val="00463F09"/>
    <w:rsid w:val="004659FB"/>
    <w:rsid w:val="00490480"/>
    <w:rsid w:val="00492FF9"/>
    <w:rsid w:val="004A11DB"/>
    <w:rsid w:val="004A21F8"/>
    <w:rsid w:val="004A3C60"/>
    <w:rsid w:val="004A52F5"/>
    <w:rsid w:val="004C7240"/>
    <w:rsid w:val="004D1499"/>
    <w:rsid w:val="004D40AA"/>
    <w:rsid w:val="004F68F0"/>
    <w:rsid w:val="004F77EA"/>
    <w:rsid w:val="00511939"/>
    <w:rsid w:val="00512BA6"/>
    <w:rsid w:val="005302AB"/>
    <w:rsid w:val="005510F4"/>
    <w:rsid w:val="0055231F"/>
    <w:rsid w:val="00566E62"/>
    <w:rsid w:val="00573213"/>
    <w:rsid w:val="005732C3"/>
    <w:rsid w:val="005863E0"/>
    <w:rsid w:val="0059513A"/>
    <w:rsid w:val="005A04BB"/>
    <w:rsid w:val="005A6A08"/>
    <w:rsid w:val="005C1122"/>
    <w:rsid w:val="005D395D"/>
    <w:rsid w:val="005D68FF"/>
    <w:rsid w:val="005E490A"/>
    <w:rsid w:val="005E75A2"/>
    <w:rsid w:val="005F368C"/>
    <w:rsid w:val="005F4260"/>
    <w:rsid w:val="0060566B"/>
    <w:rsid w:val="00605ADD"/>
    <w:rsid w:val="006214A5"/>
    <w:rsid w:val="00635F68"/>
    <w:rsid w:val="0064030A"/>
    <w:rsid w:val="00660044"/>
    <w:rsid w:val="00666677"/>
    <w:rsid w:val="00670B71"/>
    <w:rsid w:val="00672034"/>
    <w:rsid w:val="00676EB5"/>
    <w:rsid w:val="006829E5"/>
    <w:rsid w:val="006942BD"/>
    <w:rsid w:val="006A58D7"/>
    <w:rsid w:val="006D2183"/>
    <w:rsid w:val="006E2310"/>
    <w:rsid w:val="00710F1C"/>
    <w:rsid w:val="007254B2"/>
    <w:rsid w:val="007312BF"/>
    <w:rsid w:val="00731C81"/>
    <w:rsid w:val="00736FD7"/>
    <w:rsid w:val="007424D6"/>
    <w:rsid w:val="00746841"/>
    <w:rsid w:val="00751B15"/>
    <w:rsid w:val="0076493C"/>
    <w:rsid w:val="00767FC8"/>
    <w:rsid w:val="00782E2F"/>
    <w:rsid w:val="00794B0F"/>
    <w:rsid w:val="007D3D1C"/>
    <w:rsid w:val="007D442D"/>
    <w:rsid w:val="007D56D7"/>
    <w:rsid w:val="007D5AE0"/>
    <w:rsid w:val="007D66AD"/>
    <w:rsid w:val="007E1BCD"/>
    <w:rsid w:val="007E32F7"/>
    <w:rsid w:val="007F4530"/>
    <w:rsid w:val="007F4DCC"/>
    <w:rsid w:val="007F6518"/>
    <w:rsid w:val="00801ADC"/>
    <w:rsid w:val="00814644"/>
    <w:rsid w:val="00832961"/>
    <w:rsid w:val="00836599"/>
    <w:rsid w:val="00847C65"/>
    <w:rsid w:val="0086313E"/>
    <w:rsid w:val="008663F4"/>
    <w:rsid w:val="00872248"/>
    <w:rsid w:val="00880E45"/>
    <w:rsid w:val="00894712"/>
    <w:rsid w:val="008B200A"/>
    <w:rsid w:val="008C27AF"/>
    <w:rsid w:val="008C56BA"/>
    <w:rsid w:val="008D1D2B"/>
    <w:rsid w:val="008D718D"/>
    <w:rsid w:val="008E70D7"/>
    <w:rsid w:val="008F2C65"/>
    <w:rsid w:val="00900387"/>
    <w:rsid w:val="00904171"/>
    <w:rsid w:val="00910A9F"/>
    <w:rsid w:val="00944A67"/>
    <w:rsid w:val="0096066F"/>
    <w:rsid w:val="009637E9"/>
    <w:rsid w:val="00972F71"/>
    <w:rsid w:val="00976C52"/>
    <w:rsid w:val="00985CA9"/>
    <w:rsid w:val="00985DD1"/>
    <w:rsid w:val="0099595A"/>
    <w:rsid w:val="009B4E97"/>
    <w:rsid w:val="009C0AF9"/>
    <w:rsid w:val="009C5048"/>
    <w:rsid w:val="009D1481"/>
    <w:rsid w:val="009D724E"/>
    <w:rsid w:val="009E74DF"/>
    <w:rsid w:val="00A01FB3"/>
    <w:rsid w:val="00A03498"/>
    <w:rsid w:val="00A06BCB"/>
    <w:rsid w:val="00A1322E"/>
    <w:rsid w:val="00A16589"/>
    <w:rsid w:val="00A21080"/>
    <w:rsid w:val="00A24B7E"/>
    <w:rsid w:val="00A33D89"/>
    <w:rsid w:val="00A43FB8"/>
    <w:rsid w:val="00A4554A"/>
    <w:rsid w:val="00A57FDF"/>
    <w:rsid w:val="00A62410"/>
    <w:rsid w:val="00A66BDE"/>
    <w:rsid w:val="00A706C0"/>
    <w:rsid w:val="00AD5B17"/>
    <w:rsid w:val="00AE1593"/>
    <w:rsid w:val="00AE6620"/>
    <w:rsid w:val="00B16923"/>
    <w:rsid w:val="00B2767D"/>
    <w:rsid w:val="00B42669"/>
    <w:rsid w:val="00B45A14"/>
    <w:rsid w:val="00B45F43"/>
    <w:rsid w:val="00B81B95"/>
    <w:rsid w:val="00B9033B"/>
    <w:rsid w:val="00B97B89"/>
    <w:rsid w:val="00BC79D7"/>
    <w:rsid w:val="00BD2F9F"/>
    <w:rsid w:val="00BD4ABC"/>
    <w:rsid w:val="00C11A2D"/>
    <w:rsid w:val="00C13746"/>
    <w:rsid w:val="00C17481"/>
    <w:rsid w:val="00C203FD"/>
    <w:rsid w:val="00C43372"/>
    <w:rsid w:val="00C5372E"/>
    <w:rsid w:val="00C643E1"/>
    <w:rsid w:val="00C7548D"/>
    <w:rsid w:val="00C85143"/>
    <w:rsid w:val="00C87CA7"/>
    <w:rsid w:val="00C92ED6"/>
    <w:rsid w:val="00CC4FE7"/>
    <w:rsid w:val="00CF50D6"/>
    <w:rsid w:val="00D11FA6"/>
    <w:rsid w:val="00D2703C"/>
    <w:rsid w:val="00D35315"/>
    <w:rsid w:val="00D456F3"/>
    <w:rsid w:val="00D47785"/>
    <w:rsid w:val="00D83C00"/>
    <w:rsid w:val="00DA0A0B"/>
    <w:rsid w:val="00DA1648"/>
    <w:rsid w:val="00DA2BF7"/>
    <w:rsid w:val="00DA48A9"/>
    <w:rsid w:val="00DB156F"/>
    <w:rsid w:val="00DC1766"/>
    <w:rsid w:val="00DC4F09"/>
    <w:rsid w:val="00DC6EB9"/>
    <w:rsid w:val="00DE4485"/>
    <w:rsid w:val="00E11997"/>
    <w:rsid w:val="00E207A6"/>
    <w:rsid w:val="00E2669B"/>
    <w:rsid w:val="00E4582C"/>
    <w:rsid w:val="00E54252"/>
    <w:rsid w:val="00E70320"/>
    <w:rsid w:val="00E948A2"/>
    <w:rsid w:val="00EA348C"/>
    <w:rsid w:val="00EA73AF"/>
    <w:rsid w:val="00EE1E3F"/>
    <w:rsid w:val="00EE38CE"/>
    <w:rsid w:val="00F03694"/>
    <w:rsid w:val="00F041CB"/>
    <w:rsid w:val="00F06FE8"/>
    <w:rsid w:val="00F25AE7"/>
    <w:rsid w:val="00F31886"/>
    <w:rsid w:val="00F323A3"/>
    <w:rsid w:val="00F355F4"/>
    <w:rsid w:val="00F442BB"/>
    <w:rsid w:val="00F518C0"/>
    <w:rsid w:val="00F60858"/>
    <w:rsid w:val="00F60BCA"/>
    <w:rsid w:val="00F631BE"/>
    <w:rsid w:val="00F66187"/>
    <w:rsid w:val="00F704D4"/>
    <w:rsid w:val="00F7322C"/>
    <w:rsid w:val="00F8673B"/>
    <w:rsid w:val="00FA3442"/>
    <w:rsid w:val="00FB43F0"/>
    <w:rsid w:val="00FC17AC"/>
    <w:rsid w:val="00FC1913"/>
    <w:rsid w:val="00FC2587"/>
    <w:rsid w:val="00FD0C4C"/>
    <w:rsid w:val="00FD5C48"/>
    <w:rsid w:val="00FD68C2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3D5983E3-0F8E-4683-93E9-AF279D5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CDE7-A609-4223-9D58-A1BFBAA1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2019-07-08T07:34:00Z</dcterms:created>
  <dcterms:modified xsi:type="dcterms:W3CDTF">2019-07-08T07:34:00Z</dcterms:modified>
</cp:coreProperties>
</file>