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2C" w:rsidRPr="0051675B" w:rsidRDefault="00A2552C" w:rsidP="00C51BFD">
      <w:pPr>
        <w:pStyle w:val="Titre4"/>
        <w:spacing w:line="276" w:lineRule="auto"/>
        <w:jc w:val="center"/>
        <w:rPr>
          <w:rFonts w:ascii="Times New Roman" w:eastAsia="Calibri" w:hAnsi="Times New Roman" w:cs="Times New Roman"/>
          <w:bCs/>
          <w:caps w:val="0"/>
          <w:snapToGrid w:val="0"/>
          <w:color w:val="3366FF"/>
          <w:kern w:val="28"/>
          <w:sz w:val="24"/>
          <w:szCs w:val="24"/>
          <w:lang w:eastAsia="zh-CN"/>
        </w:rPr>
      </w:pPr>
      <w:bookmarkStart w:id="0" w:name="_GoBack"/>
      <w:bookmarkEnd w:id="0"/>
      <w:r w:rsidRPr="0051675B">
        <w:rPr>
          <w:rFonts w:ascii="Times New Roman" w:eastAsia="Calibri" w:hAnsi="Times New Roman" w:cs="Times New Roman"/>
          <w:bCs/>
          <w:caps w:val="0"/>
          <w:snapToGrid w:val="0"/>
          <w:color w:val="3366FF"/>
          <w:kern w:val="28"/>
          <w:sz w:val="24"/>
          <w:szCs w:val="24"/>
          <w:lang w:eastAsia="zh-CN"/>
        </w:rPr>
        <w:t>FICHE TYPE D’INVENTAIRE DU PCI</w:t>
      </w:r>
    </w:p>
    <w:p w:rsidR="00A2552C" w:rsidRPr="0051675B" w:rsidRDefault="00A2552C" w:rsidP="00054175">
      <w:pPr>
        <w:spacing w:before="0" w:after="0" w:line="276" w:lineRule="auto"/>
        <w:rPr>
          <w:rFonts w:ascii="Times New Roman" w:hAnsi="Times New Roman" w:cs="Times New Roman"/>
          <w:sz w:val="24"/>
          <w:lang w:val="fr-FR"/>
        </w:rPr>
      </w:pPr>
      <w:r w:rsidRPr="0051675B">
        <w:rPr>
          <w:rFonts w:ascii="Times New Roman" w:hAnsi="Times New Roman" w:cs="Times New Roman"/>
          <w:b/>
          <w:sz w:val="24"/>
          <w:lang w:val="fr-FR"/>
        </w:rPr>
        <w:t>REGION : FATICK</w:t>
      </w:r>
      <w:r w:rsidR="00641E17">
        <w:rPr>
          <w:rFonts w:ascii="Times New Roman" w:hAnsi="Times New Roman" w:cs="Times New Roman"/>
          <w:b/>
          <w:sz w:val="24"/>
          <w:lang w:val="fr-FR"/>
        </w:rPr>
        <w:t xml:space="preserve"> (FK3)</w:t>
      </w:r>
    </w:p>
    <w:p w:rsidR="00A2552C" w:rsidRPr="0051675B" w:rsidRDefault="00A2552C" w:rsidP="00054175">
      <w:pPr>
        <w:spacing w:before="0" w:after="0" w:line="276" w:lineRule="auto"/>
        <w:rPr>
          <w:rFonts w:ascii="Times New Roman" w:hAnsi="Times New Roman" w:cs="Times New Roman"/>
          <w:b/>
          <w:sz w:val="24"/>
          <w:lang w:val="fr-FR"/>
        </w:rPr>
      </w:pPr>
      <w:r w:rsidRPr="0051675B">
        <w:rPr>
          <w:rFonts w:ascii="Times New Roman" w:hAnsi="Times New Roman" w:cs="Times New Roman"/>
          <w:b/>
          <w:sz w:val="24"/>
          <w:lang w:val="fr-FR"/>
        </w:rPr>
        <w:t xml:space="preserve">DEPARTEMENT : </w:t>
      </w:r>
      <w:r w:rsidR="00641E17">
        <w:rPr>
          <w:rFonts w:ascii="Times New Roman" w:hAnsi="Times New Roman" w:cs="Times New Roman"/>
          <w:b/>
          <w:sz w:val="24"/>
          <w:lang w:val="fr-FR"/>
        </w:rPr>
        <w:t>Fatick (FTK)</w:t>
      </w:r>
    </w:p>
    <w:p w:rsidR="00A2552C" w:rsidRPr="0051675B" w:rsidRDefault="00A2552C" w:rsidP="00054175">
      <w:pPr>
        <w:pStyle w:val="Titre4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51675B">
        <w:rPr>
          <w:rFonts w:ascii="Times New Roman" w:hAnsi="Times New Roman" w:cs="Times New Roman"/>
          <w:sz w:val="24"/>
          <w:szCs w:val="24"/>
        </w:rPr>
        <w:t xml:space="preserve">Numero de la fiche : </w:t>
      </w:r>
      <w:r w:rsidR="00641E17">
        <w:rPr>
          <w:rFonts w:ascii="Times New Roman" w:hAnsi="Times New Roman" w:cs="Times New Roman"/>
          <w:sz w:val="24"/>
          <w:szCs w:val="24"/>
        </w:rPr>
        <w:t>SNFK3FTKPCI 03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A2552C" w:rsidRPr="0051675B" w:rsidTr="00116EBE">
        <w:tc>
          <w:tcPr>
            <w:tcW w:w="567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A2552C" w:rsidRPr="0051675B" w:rsidRDefault="00A2552C" w:rsidP="00054175">
            <w:pPr>
              <w:pStyle w:val="Tabtxt"/>
              <w:keepNext w:val="0"/>
              <w:spacing w:before="80" w:after="80" w:line="276" w:lineRule="auto"/>
              <w:ind w:left="113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1675B"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  <w:t>Identification de l’élément du PCI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A2552C" w:rsidRPr="00B95D2C" w:rsidRDefault="00A2552C" w:rsidP="00054175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Nom de l’élément du PCI tel qu’il est employé par la communauté concernée</w:t>
            </w:r>
          </w:p>
          <w:p w:rsidR="00A2552C" w:rsidRPr="0051675B" w:rsidRDefault="00A2552C" w:rsidP="00054175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 Mboy  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A2552C" w:rsidRPr="00B95D2C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Titre de l’élément du PCI ‒ avec indication du (des) domaine(s) du PCI concerné(s)</w:t>
            </w:r>
          </w:p>
          <w:p w:rsidR="00A2552C" w:rsidRPr="00B95D2C" w:rsidRDefault="00A2552C" w:rsidP="00054175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Rite funéraire en milieu seereer</w:t>
            </w:r>
          </w:p>
          <w:p w:rsidR="0051675B" w:rsidRPr="0051675B" w:rsidRDefault="0051675B" w:rsidP="00054175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Les  traditions et expressions orales y compris la langue comme vecteur  du patrimoine immatériel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51675B" w:rsidRPr="0051675B" w:rsidRDefault="0051675B" w:rsidP="00054175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Les arts du spectacle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51675B" w:rsidRPr="0051675B" w:rsidRDefault="0051675B" w:rsidP="00A4025E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Les pratiques sociales, rituels et événements festifs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A2552C" w:rsidRPr="00B95D2C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>Communauté (s) concerned (s)</w:t>
            </w:r>
          </w:p>
          <w:p w:rsidR="009D6909" w:rsidRPr="0051675B" w:rsidRDefault="009D6909" w:rsidP="00A4025E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Seereer du sine</w:t>
            </w:r>
          </w:p>
        </w:tc>
      </w:tr>
      <w:tr w:rsidR="00A2552C" w:rsidRPr="0051675B" w:rsidTr="00A24B06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1.4.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A2552C" w:rsidRPr="00B95D2C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Cs w:val="22"/>
                <w:lang w:val="fr-FR" w:eastAsia="fr-FR"/>
              </w:rPr>
              <w:t>Emplacement(s) physique(s) / répartition et fréquence de la pratique de l’élément du PCI</w:t>
            </w:r>
          </w:p>
          <w:p w:rsidR="009D6909" w:rsidRPr="0051675B" w:rsidRDefault="009D6909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Maison mortuaire /à la mort d’une personne âgée</w:t>
            </w:r>
          </w:p>
        </w:tc>
      </w:tr>
      <w:tr w:rsidR="00A2552C" w:rsidRPr="0051675B" w:rsidTr="00A24B0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nil"/>
            </w:tcBorders>
            <w:shd w:val="clear" w:color="auto" w:fill="auto"/>
          </w:tcPr>
          <w:p w:rsidR="009D6909" w:rsidRPr="00B95D2C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Brève description de l’élément du PCI (de préférence pas plus de 200 mots)</w:t>
            </w:r>
          </w:p>
          <w:p w:rsidR="0052054B" w:rsidRDefault="00320B10" w:rsidP="006539B8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</w:t>
            </w:r>
            <w:r w:rsidR="009D6909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822A9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rite funéraire seereer «</w:t>
            </w:r>
            <w:r w:rsidR="009D6909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 mboy» </w:t>
            </w:r>
            <w:r w:rsidR="00016CE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est pratiqué pour les défunts âgés.</w:t>
            </w:r>
            <w:r w:rsidR="00822A9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6539B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52054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Si le  défu</w:t>
            </w:r>
            <w:r w:rsidR="00AF48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nt est jeune   on parle de « o M</w:t>
            </w:r>
            <w:r w:rsidR="0052054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boy »  qui signifie  une cérémonie sobre pour plus marquer la douleur. </w:t>
            </w:r>
          </w:p>
          <w:p w:rsidR="00822A9D" w:rsidRDefault="0052054B" w:rsidP="006539B8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« A </w:t>
            </w: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mboy</w:t>
            </w:r>
            <w:proofErr w:type="spellEnd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»</w:t>
            </w:r>
            <w:r w:rsidR="00822A9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suit  un processus</w:t>
            </w:r>
            <w:r w:rsidR="006539B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avec plusieurs phases.</w:t>
            </w:r>
            <w:r w:rsidR="00822A9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  <w:p w:rsidR="00CE2515" w:rsidRPr="00230778" w:rsidRDefault="00822A9D" w:rsidP="00230778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D’abord, </w:t>
            </w:r>
            <w:r w:rsidR="008F1300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à l’annonce de la mort, </w:t>
            </w:r>
            <w:r w:rsidR="006D4954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la lignée  paternelle dirige le bain mortuaire</w:t>
            </w:r>
            <w:r w:rsidR="008F1300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car chez les sérères,</w:t>
            </w:r>
            <w:r w:rsidR="006D4954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8F1300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l’individu de son vivant appartient à sa famill</w:t>
            </w:r>
            <w:r w:rsidR="001D58A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 maternelle mais à la mort à  s</w:t>
            </w:r>
            <w:r w:rsidR="008F1300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 lignée paternelle. Cependant pour l’habillement du défunt, les deux familles  et les </w:t>
            </w:r>
            <w:r w:rsidR="006D4954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belles familles</w:t>
            </w:r>
            <w:r w:rsidR="008F1300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CE2515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apportent</w:t>
            </w:r>
            <w:r w:rsidR="008F1300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6D4954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des vêtements de valeur (pagnes traditionnel</w:t>
            </w:r>
            <w:r w:rsidR="008F1300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 le plus souvent)</w:t>
            </w:r>
            <w:r w:rsidR="00CE2515" w:rsidRPr="002307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  <w:p w:rsidR="00914C82" w:rsidRPr="00CB7A3D" w:rsidRDefault="0052054B" w:rsidP="00230778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Ensuite,  l’enterrement qui est précédé </w:t>
            </w:r>
            <w:r w:rsidR="00E13BF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du « thiakane ». Etymologiquement </w:t>
            </w: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</w:t>
            </w:r>
            <w:r w:rsidR="00822A9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hiakane</w:t>
            </w:r>
            <w:proofErr w:type="spellEnd"/>
            <w:r w:rsidR="00822A9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signifie l’action d’escalader. Ici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r w:rsidR="00822A9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il ne s’agit pas de faire passer le défunt sur le bœuf mais</w:t>
            </w:r>
            <w:r w:rsidR="006D495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l’action d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  le tuer</w:t>
            </w:r>
            <w:r w:rsidR="001D58A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à son  hommage.</w:t>
            </w:r>
            <w:r w:rsidR="00822A9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 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Après</w:t>
            </w:r>
            <w:r w:rsidR="006D495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1223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les hommes</w:t>
            </w:r>
            <w:r w:rsidR="001D58A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se dirigent </w:t>
            </w:r>
            <w:r w:rsidR="001223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vers les cimetières laissant derrière eux des femmes qui tout en pleurant chantent les 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louanges du disparu</w:t>
            </w:r>
            <w:r w:rsidR="001223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  <w:r w:rsidR="00CB7A3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  <w:p w:rsidR="00CE2515" w:rsidRDefault="00914C82" w:rsidP="00914C82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Après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 « </w:t>
            </w:r>
            <w:proofErr w:type="spellStart"/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Kharaan</w:t>
            </w:r>
            <w:proofErr w:type="spellEnd"/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» (une petite cérémonie funèbre)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est organisée 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 jour même  si l’enterrement a lieu le matin  et le lendemain si ce dernier a lieu le soir. Le jour du « kharaan »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la date </w:t>
            </w:r>
            <w:r w:rsidR="00320B1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des funérailles 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est fixée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(</w:t>
            </w:r>
            <w:r w:rsidR="001D58A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voire des mois ou des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an</w:t>
            </w:r>
            <w:r w:rsidR="001D58A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nées </w:t>
            </w:r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après</w:t>
            </w:r>
            <w:r w:rsidR="001D58A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 selon la décision de la famille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)</w:t>
            </w:r>
            <w:r w:rsidR="00320B1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. </w:t>
            </w:r>
          </w:p>
          <w:p w:rsidR="00835E56" w:rsidRDefault="00835E56" w:rsidP="00914C82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Enfin le « </w:t>
            </w:r>
            <w:r w:rsidR="001D58A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Mboy</w:t>
            </w:r>
            <w:proofErr w:type="spellEnd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».</w:t>
            </w:r>
          </w:p>
          <w:p w:rsidR="003A0956" w:rsidRDefault="00835E56" w:rsidP="00914C82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</w:t>
            </w:r>
            <w:r w:rsidR="0055703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 jour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 w:rsidR="0055703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il se forme 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une dynamique </w:t>
            </w:r>
            <w:r w:rsidR="0055703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structure </w:t>
            </w:r>
            <w:r w:rsidR="00F945A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familiale et communautaire</w:t>
            </w:r>
            <w:r w:rsidR="0055703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aux fins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lastRenderedPageBreak/>
              <w:t xml:space="preserve">d’une bonne </w:t>
            </w:r>
            <w:r w:rsidR="00CB7A3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organisation de 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la cérémonie</w:t>
            </w:r>
            <w:r w:rsidR="00F945A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 Les « </w:t>
            </w:r>
            <w:proofErr w:type="spellStart"/>
            <w:r w:rsidR="00F945A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taaw</w:t>
            </w:r>
            <w:proofErr w:type="spellEnd"/>
            <w:r w:rsidR="00F945A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 » 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(</w:t>
            </w:r>
            <w:r w:rsidR="00F945A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ainés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)</w:t>
            </w:r>
            <w:r w:rsidR="00F945A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garçons </w:t>
            </w:r>
            <w:r w:rsidR="003A09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et les époux des filles du défunt  </w:t>
            </w:r>
            <w:r w:rsidR="00F945A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tuent</w:t>
            </w:r>
            <w:r w:rsidR="003A09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F945A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chacun 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un bœuf, l</w:t>
            </w:r>
            <w:r w:rsidR="003A09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 voisinage amène du  mil et autres céréales nécessaires.</w:t>
            </w:r>
          </w:p>
          <w:p w:rsidR="00A2552C" w:rsidRPr="0051675B" w:rsidRDefault="00B95D2C" w:rsidP="005E2FFC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Auto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ur d’un cercle,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les 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doyens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 la famille,  les gendres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du défunt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 les</w:t>
            </w:r>
            <w:r w:rsidR="00CB7A3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mandataires des brus et les voisins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s’acquittent 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à tour de rôle,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de</w:t>
            </w:r>
            <w:r w:rsidR="00CB7A3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 </w:t>
            </w:r>
            <w:r w:rsidR="00AD617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« </w:t>
            </w:r>
            <w:proofErr w:type="spellStart"/>
            <w:r w:rsidR="00AD617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war</w:t>
            </w:r>
            <w:r w:rsidR="00A24B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g</w:t>
            </w:r>
            <w:r w:rsidR="00AD617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al</w:t>
            </w:r>
            <w:proofErr w:type="spellEnd"/>
            <w:r w:rsidR="00AD617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 » 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ou obligations </w:t>
            </w:r>
            <w:r w:rsidR="00AD617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sociales </w:t>
            </w:r>
            <w:r w:rsidR="00CB7A3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accompagnées</w:t>
            </w:r>
            <w:r w:rsidR="00835E5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 </w:t>
            </w:r>
            <w:r w:rsidR="00CB7A3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de témoignages sur le défunt et sa famille.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 « </w:t>
            </w:r>
            <w:r w:rsidR="009C6A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Salma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» </w:t>
            </w:r>
            <w:r w:rsidR="009C6A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(sagaie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)  joue un rôle important dans la prise de parole car il est le témoin que l’orateur plante au sol pour</w:t>
            </w:r>
            <w:r w:rsidR="009C6A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commencer ses témoignages.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  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Cet instant est aussi </w:t>
            </w:r>
            <w:r w:rsidR="005E2FF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 </w:t>
            </w:r>
            <w:r w:rsidR="0052054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lieu de</w:t>
            </w:r>
            <w:r w:rsidR="00CE251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renforcement du tissu social car l’arbre généalogique est revisité et des recommandations sont faites pour consolider les liens familiaux.</w:t>
            </w:r>
            <w:r w:rsidR="00AD617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</w:tc>
      </w:tr>
      <w:tr w:rsidR="00A2552C" w:rsidRPr="0051675B" w:rsidTr="00A24B06">
        <w:tc>
          <w:tcPr>
            <w:tcW w:w="567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lastRenderedPageBreak/>
              <w:t>2.</w:t>
            </w:r>
          </w:p>
        </w:tc>
        <w:tc>
          <w:tcPr>
            <w:tcW w:w="8283" w:type="dxa"/>
            <w:tcBorders>
              <w:top w:val="nil"/>
            </w:tcBorders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Caractéristiques de l’élément du PCI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A2552C" w:rsidRPr="00B95D2C" w:rsidRDefault="00A2552C" w:rsidP="00054175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Praticien(s) / interprète(s) directement impliqué(s) dans la représentation ou la pratique de l’élément   du PCI (préciser nom, âge, sexe, catégorie professionnelle, etc.)</w:t>
            </w:r>
          </w:p>
          <w:p w:rsidR="00CC1ABF" w:rsidRDefault="00A4397E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Les Taaw</w:t>
            </w:r>
            <w:r w:rsidR="00CC1AB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(ainé</w:t>
            </w:r>
            <w:r w:rsidR="00CA6DB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(ée</w:t>
            </w:r>
            <w:r w:rsidR="00CC1AB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s)</w:t>
            </w:r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du défunt: Ils sont  les princip</w:t>
            </w:r>
            <w:r w:rsidR="009C6A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aux responsables de la cérémonie desquels </w:t>
            </w:r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9C6A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émanent </w:t>
            </w:r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les grandes décisi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ons relatives à l’organisation,</w:t>
            </w:r>
          </w:p>
          <w:p w:rsidR="00CC1ABF" w:rsidRDefault="00CC1ABF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Les oncles paternels et maternels</w:t>
            </w:r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: </w:t>
            </w:r>
            <w:r w:rsidR="00AF533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I</w:t>
            </w:r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ls jouent un rôle consultatif et de conseiller pour les </w:t>
            </w:r>
            <w:proofErr w:type="spellStart"/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taaw</w:t>
            </w:r>
            <w:proofErr w:type="spellEnd"/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 </w:t>
            </w:r>
          </w:p>
          <w:p w:rsidR="009D6909" w:rsidRPr="0051675B" w:rsidRDefault="00CC1ABF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Les gendres  et brus</w:t>
            </w:r>
            <w:r w:rsidR="0082490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 : liés à la famille du défunt par le truchement du mariage, ils ont l’obligation de participer financièrement ou en tuant un bœuf lors du 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rite.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:rsidR="00A2552C" w:rsidRPr="00B95D2C" w:rsidRDefault="00A2552C" w:rsidP="00054175">
            <w:pPr>
              <w:spacing w:before="80" w:after="0" w:line="276" w:lineRule="auto"/>
              <w:ind w:left="113" w:righ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824907" w:rsidRDefault="00824907" w:rsidP="008D41C0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« O maad ngulok » doyenne des femmes et détentrice de pouvoirs mystiques, elle </w:t>
            </w:r>
            <w:r w:rsidR="009C6A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protège, assiste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les jeunes mariées et  veuves dans la conduite à tenir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</w:p>
          <w:p w:rsidR="00CC1ABF" w:rsidRPr="00054175" w:rsidRDefault="009C6A30" w:rsidP="008D41C0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 voisinage: </w:t>
            </w:r>
            <w:r w:rsidR="00824907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La mort en milieu </w:t>
            </w:r>
            <w:r w:rsid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seeree</w:t>
            </w:r>
            <w:r w:rsidR="008D41C0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r</w:t>
            </w:r>
            <w:r w:rsidR="00824907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n’est jamais une expérience individuelle mais elle est plutôt un événement communautaire. Elle  est un cadre  de solidarité, de consolidation et de redéfinition de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s relations interpersonnelles. </w:t>
            </w:r>
            <w:r w:rsidR="00824907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Ainsi, les voisins de la famille éplorée, assiste</w:t>
            </w:r>
            <w:r w:rsid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nt </w:t>
            </w:r>
            <w:r w:rsidR="00824907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financièrement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 matériellement </w:t>
            </w:r>
            <w:r w:rsidR="00824907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cette dernière.  Ils s’occupent de </w:t>
            </w:r>
            <w:r w:rsidR="008D41C0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l’accueil,</w:t>
            </w:r>
            <w:r w:rsidR="00824907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de l’</w:t>
            </w:r>
            <w:r w:rsidR="00582EB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hébergement  des hôtes </w:t>
            </w:r>
            <w:r w:rsidR="00824907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et</w:t>
            </w:r>
            <w:r w:rsidR="00582EB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824907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</w:t>
            </w:r>
            <w:r w:rsidR="008D41C0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 taches ménagères avant</w:t>
            </w:r>
            <w:r w:rsidR="00582EB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 w:rsidR="008D41C0" w:rsidRPr="008D41C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pendant et après la cérémonie.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A2552C" w:rsidRPr="00B95D2C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Langue(s) ou registre(s) de langue utilisée(s)</w:t>
            </w:r>
          </w:p>
          <w:p w:rsidR="00CC1ABF" w:rsidRPr="0051675B" w:rsidRDefault="00B3135D" w:rsidP="00054175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  <w:r w:rsidR="00CC1AB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eereer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Sine 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A2552C" w:rsidRPr="00B95D2C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582EBC" w:rsidRPr="00582EBC" w:rsidRDefault="00CC1ABF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« </w:t>
            </w:r>
            <w:proofErr w:type="spellStart"/>
            <w:r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mbokine</w:t>
            </w:r>
            <w:proofErr w:type="spellEnd"/>
            <w:r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»  ou vase en argile</w:t>
            </w:r>
            <w:r w:rsidR="006539B8"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 Il sert pour le lavage mortuaire</w:t>
            </w:r>
            <w:r w:rsidR="00B95D2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  <w:r w:rsidR="006539B8"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</w:p>
          <w:p w:rsidR="00CC1ABF" w:rsidRPr="00582EBC" w:rsidRDefault="003B23BA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« </w:t>
            </w:r>
            <w:proofErr w:type="spellStart"/>
            <w:r w:rsidR="008D41C0"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Pay</w:t>
            </w:r>
            <w:proofErr w:type="spellEnd"/>
            <w:r w:rsidR="00B3135D"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</w:t>
            </w:r>
            <w:proofErr w:type="spellStart"/>
            <w:r w:rsidR="00B3135D"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Ndiwé</w:t>
            </w:r>
            <w:proofErr w:type="spellEnd"/>
            <w:r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»</w:t>
            </w:r>
            <w:r w:rsidR="00B3135D"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</w:t>
            </w:r>
            <w:r w:rsidR="00CC1ABF"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ou pagne traditionnel</w:t>
            </w:r>
            <w:r w:rsidR="006539B8"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:</w:t>
            </w:r>
            <w:r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dans la société seereer, </w:t>
            </w:r>
            <w:r w:rsidR="006539B8"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l</w:t>
            </w:r>
            <w:r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e pagne traditionnel est présent </w:t>
            </w:r>
            <w:r w:rsid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de la naissance à la mort </w:t>
            </w:r>
            <w:r w:rsidRP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en passant par le  mariage et la circoncision</w:t>
            </w:r>
            <w:r w:rsidR="00B95D2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</w:p>
          <w:p w:rsidR="00B82EBA" w:rsidRDefault="00582EBC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lastRenderedPageBreak/>
              <w:t xml:space="preserve">Les </w:t>
            </w:r>
            <w:r w:rsidR="00B82EB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Bœufs</w:t>
            </w:r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.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Ils servent à la restauration.  Les taaws, gendres et brus immolent chacun un bœuf</w:t>
            </w:r>
            <w:r w:rsidR="006539B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6539B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674D3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Chez le sérères le bœuf </w:t>
            </w:r>
            <w:r w:rsidR="006539B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tient une importance capitale dans les rites funéraire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s et le </w:t>
            </w:r>
            <w:r w:rsidR="006539B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mariage. Le nombre important de bœufs tué pendant les funérailles est une fierté et un honneur pour la famille du défunt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CC1ABF" w:rsidRPr="00F46D92" w:rsidRDefault="00CC1ABF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« a salma » ou </w:t>
            </w:r>
            <w:r w:rsidR="00F46D9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sagaie</w:t>
            </w:r>
            <w:r w:rsid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 ; </w:t>
            </w:r>
            <w:r w:rsidR="00582EB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que l’orateur plante au sol pour commencer 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son discours,</w:t>
            </w:r>
          </w:p>
          <w:p w:rsidR="00F46D92" w:rsidRPr="00CC1ABF" w:rsidRDefault="00F46D92" w:rsidP="00BC652B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Tams tams</w:t>
            </w:r>
            <w:r w:rsid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;  ser</w:t>
            </w:r>
            <w:r w:rsidR="00BC652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vent </w:t>
            </w:r>
            <w:r w:rsidR="00582EB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aux baks </w:t>
            </w:r>
            <w:r w:rsidR="00BC652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(ou rythmes glorieux) pour  les orateurs</w:t>
            </w:r>
            <w:r w:rsidR="00B95D2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2.5.</w:t>
            </w:r>
          </w:p>
        </w:tc>
        <w:tc>
          <w:tcPr>
            <w:tcW w:w="8283" w:type="dxa"/>
            <w:shd w:val="clear" w:color="auto" w:fill="auto"/>
          </w:tcPr>
          <w:p w:rsidR="00A2552C" w:rsidRPr="00B95D2C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F46D92" w:rsidRPr="00F46D92" w:rsidRDefault="00F46D92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F46D9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danse </w:t>
            </w:r>
            <w:r w:rsidR="00330B5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(magne et </w:t>
            </w:r>
            <w:proofErr w:type="spellStart"/>
            <w:r w:rsidR="00330B5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ndioup</w:t>
            </w:r>
            <w:proofErr w:type="spellEnd"/>
            <w:r w:rsidR="00330B5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)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F46D92" w:rsidRPr="00F46D92" w:rsidRDefault="00F46D92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F46D9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Chants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F46D92" w:rsidRPr="009E410C" w:rsidRDefault="00F46D92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proofErr w:type="gramStart"/>
            <w:r w:rsidRPr="00F46D9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Pleurs 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proofErr w:type="gramEnd"/>
          </w:p>
          <w:p w:rsidR="009E410C" w:rsidRPr="009E410C" w:rsidRDefault="009E410C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9E410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« 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 kosseer » </w:t>
            </w:r>
            <w:r w:rsidR="00BD795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obligation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du gendre de tuer un bœuf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9E410C" w:rsidRPr="009E410C" w:rsidRDefault="00F92B5B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« </w:t>
            </w:r>
            <w:proofErr w:type="gram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</w:t>
            </w:r>
            <w:proofErr w:type="gramEnd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pakakh</w:t>
            </w:r>
            <w:r w:rsidR="009E410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» se faire battre le </w:t>
            </w:r>
            <w:proofErr w:type="spellStart"/>
            <w:r w:rsidR="009E410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tam</w:t>
            </w:r>
            <w:proofErr w:type="spellEnd"/>
            <w:r w:rsidR="009E410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 </w:t>
            </w:r>
            <w:proofErr w:type="spellStart"/>
            <w:r w:rsidR="009E410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tam</w:t>
            </w:r>
            <w:proofErr w:type="spellEnd"/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9E410C" w:rsidRPr="00F46D92" w:rsidRDefault="00054175" w:rsidP="00054175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9E410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« Mbaap » action de la famille matrilinéaire de défunt de donner des vêtements  à la famille patrilinéaire</w:t>
            </w:r>
            <w:r w:rsidR="00B95D2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45710C" w:rsidRPr="00B95D2C" w:rsidRDefault="00A2552C" w:rsidP="0045710C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B95D2C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45710C" w:rsidRDefault="0045710C" w:rsidP="0045710C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Les parents biologiques ne doivent pas faire la toilette mortuaire ni enterrer le défunt</w:t>
            </w:r>
            <w:r w:rsidR="00903D0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054175" w:rsidRPr="0045710C" w:rsidRDefault="00054175" w:rsidP="0045710C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45710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Etre homme (pour l’enterrement), les femmes ne vont pas aux cimetières</w:t>
            </w:r>
            <w:r w:rsidR="00903D0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 w:rsidRPr="0045710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  <w:p w:rsidR="00054175" w:rsidRDefault="00054175" w:rsidP="00054175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Etre membre de la famille ou de la belle famille</w:t>
            </w:r>
            <w:r w:rsidR="00903D0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9E410C" w:rsidRPr="009E410C" w:rsidRDefault="0045710C" w:rsidP="00C51BFD">
            <w:pPr>
              <w:pStyle w:val="Paragraphedeliste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Solidarité du voisinage</w:t>
            </w:r>
            <w:r w:rsidR="00903D0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:rsidR="00A2552C" w:rsidRPr="00903D0D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903D0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Modes de transmission aux autres membres de la communauté</w:t>
            </w:r>
          </w:p>
          <w:p w:rsidR="00AE6B71" w:rsidRDefault="00AE6B71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 </w:t>
            </w:r>
            <w:r w:rsidR="00C0492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rite  est transmis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à la jeune génération  par plusieurs moyens.</w:t>
            </w:r>
          </w:p>
          <w:p w:rsidR="00AE6B71" w:rsidRDefault="00AE6B71" w:rsidP="00C0492B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C0492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 jour du rite l’assistance leur est ouverte afin qu’il observe  les différentes pratiques</w:t>
            </w:r>
            <w:r w:rsidR="00BC652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 w:rsidRPr="00C0492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  <w:p w:rsidR="00C0492B" w:rsidRDefault="00C0492B" w:rsidP="00C0492B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Dans les associations familiales  l’on parle de la généalogie afin de conscientiser les jeunes sur leurs devoirs dans les cérémonies</w:t>
            </w:r>
            <w:r w:rsidR="00BC652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majeures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comme les funérailles</w:t>
            </w:r>
            <w:r w:rsidR="00BC652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054175" w:rsidRPr="00C17F96" w:rsidRDefault="00C0492B" w:rsidP="00C0492B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La famille constitue aussi un cadre de promotion des valeurs du rite funéraire</w:t>
            </w:r>
            <w:r w:rsidR="00903D0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</w:tc>
      </w:tr>
      <w:tr w:rsidR="00A2552C" w:rsidRPr="0051675B" w:rsidTr="00116E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A2552C" w:rsidRPr="00903D0D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</w:pPr>
            <w:r w:rsidRPr="00903D0D"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  <w:t>Organisations concernées (organisations communautaires, ONG ou autres, le cas échéant)</w:t>
            </w:r>
          </w:p>
          <w:p w:rsidR="00F92B5B" w:rsidRPr="0051675B" w:rsidRDefault="00054175" w:rsidP="005F02F3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La famille, la belle famille, la communauté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État de l’élément du PCI : viabilité (voir commentaires ci-après)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3.1.</w:t>
            </w:r>
          </w:p>
        </w:tc>
        <w:tc>
          <w:tcPr>
            <w:tcW w:w="8283" w:type="dxa"/>
            <w:shd w:val="clear" w:color="auto" w:fill="auto"/>
          </w:tcPr>
          <w:p w:rsidR="00382E19" w:rsidRPr="00903D0D" w:rsidRDefault="00A2552C" w:rsidP="00382E19">
            <w:pPr>
              <w:pStyle w:val="Commentair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903D0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Menaces éventuelles sur la pratique permanente de l’élément dans la (les) communauté(s) concernée(s)</w:t>
            </w:r>
            <w:r w:rsidR="00382E19" w:rsidRPr="00903D0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</w:p>
          <w:p w:rsidR="00382E19" w:rsidRPr="0079114F" w:rsidRDefault="00382E19" w:rsidP="00382E19">
            <w:pPr>
              <w:pStyle w:val="Commentair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791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L’islam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les autres religions révélées  en eux </w:t>
            </w:r>
            <w:r w:rsidRPr="00791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-même</w:t>
            </w:r>
            <w:r w:rsidR="00BC65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791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ne constituent pas une menace. Toutefois, en rapport avec la conversion de plusieurs me</w:t>
            </w:r>
            <w:r w:rsidR="00BC65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mbres de la communauté</w:t>
            </w:r>
            <w:r w:rsidR="00903D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ils ont contribué</w:t>
            </w:r>
            <w:r w:rsidRPr="00791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  à la </w:t>
            </w:r>
            <w:r w:rsidRPr="0079114F">
              <w:rPr>
                <w:rFonts w:ascii="Times New Roman" w:hAnsi="Times New Roman" w:cs="Times New Roman"/>
                <w:sz w:val="24"/>
                <w:lang w:val="fr-FR"/>
              </w:rPr>
              <w:t xml:space="preserve">décroissance </w:t>
            </w:r>
            <w:r w:rsidRPr="00791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du nombre de praticiens</w:t>
            </w:r>
            <w:r w:rsidR="00BC65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:rsidR="00382E19" w:rsidRDefault="00382E19" w:rsidP="00382E19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z w:val="24"/>
                <w:lang w:val="fr-FR"/>
              </w:rPr>
            </w:pPr>
            <w:r w:rsidRPr="0079114F">
              <w:rPr>
                <w:rFonts w:ascii="Times New Roman" w:hAnsi="Times New Roman" w:cs="Times New Roman"/>
                <w:sz w:val="24"/>
                <w:lang w:val="fr-FR"/>
              </w:rPr>
              <w:t>Avec l’influence occidentale dans la famille, l’individualisme  a pris le contre pied de la solidarité. Du coup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, l</w:t>
            </w:r>
            <w:r w:rsidRPr="0079114F">
              <w:rPr>
                <w:rFonts w:ascii="Times New Roman" w:hAnsi="Times New Roman" w:cs="Times New Roman"/>
                <w:sz w:val="24"/>
                <w:lang w:val="fr-FR"/>
              </w:rPr>
              <w:t xml:space="preserve">e budget important que nécessite la production de l’élément, dans un contexte de pauvreté, est une sérieuse menace sur la pratique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du rite</w:t>
            </w:r>
            <w:r w:rsidR="00903D0D">
              <w:rPr>
                <w:rFonts w:ascii="Times New Roman" w:hAnsi="Times New Roman" w:cs="Times New Roman"/>
                <w:sz w:val="24"/>
                <w:lang w:val="fr-FR"/>
              </w:rPr>
              <w:t>,</w:t>
            </w:r>
          </w:p>
          <w:p w:rsidR="00054175" w:rsidRPr="00F72640" w:rsidRDefault="00903D0D" w:rsidP="00903D0D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L’ouverture  à travers l</w:t>
            </w:r>
            <w:r w:rsidR="00E63E68">
              <w:rPr>
                <w:rFonts w:ascii="Times New Roman" w:hAnsi="Times New Roman" w:cs="Times New Roman"/>
                <w:sz w:val="24"/>
                <w:lang w:val="fr-FR"/>
              </w:rPr>
              <w:t>es</w:t>
            </w:r>
            <w:r w:rsidR="00382E19" w:rsidRPr="00382E19">
              <w:rPr>
                <w:rFonts w:ascii="Times New Roman" w:hAnsi="Times New Roman" w:cs="Times New Roman"/>
                <w:sz w:val="24"/>
                <w:lang w:val="fr-FR"/>
              </w:rPr>
              <w:t xml:space="preserve">  mariage</w:t>
            </w:r>
            <w:r w:rsidR="00E63E68">
              <w:rPr>
                <w:rFonts w:ascii="Times New Roman" w:hAnsi="Times New Roman" w:cs="Times New Roman"/>
                <w:sz w:val="24"/>
                <w:lang w:val="fr-FR"/>
              </w:rPr>
              <w:t>s</w:t>
            </w:r>
            <w:r w:rsidR="00382E19" w:rsidRPr="00382E19">
              <w:rPr>
                <w:rFonts w:ascii="Times New Roman" w:hAnsi="Times New Roman" w:cs="Times New Roman"/>
                <w:sz w:val="24"/>
                <w:lang w:val="fr-FR"/>
              </w:rPr>
              <w:t xml:space="preserve"> avec de</w:t>
            </w:r>
            <w:r w:rsidR="00BC652B">
              <w:rPr>
                <w:rFonts w:ascii="Times New Roman" w:hAnsi="Times New Roman" w:cs="Times New Roman"/>
                <w:sz w:val="24"/>
                <w:lang w:val="fr-FR"/>
              </w:rPr>
              <w:t xml:space="preserve">s </w:t>
            </w:r>
            <w:r w:rsidR="00382E19" w:rsidRPr="00382E19">
              <w:rPr>
                <w:rFonts w:ascii="Times New Roman" w:hAnsi="Times New Roman" w:cs="Times New Roman"/>
                <w:sz w:val="24"/>
                <w:lang w:val="fr-FR"/>
              </w:rPr>
              <w:t xml:space="preserve"> membres n’appartenant pas  la communauté engendre</w:t>
            </w:r>
            <w:r w:rsidR="00E63E68">
              <w:rPr>
                <w:rFonts w:ascii="Times New Roman" w:hAnsi="Times New Roman" w:cs="Times New Roman"/>
                <w:sz w:val="24"/>
                <w:lang w:val="fr-FR"/>
              </w:rPr>
              <w:t xml:space="preserve">nt parfois </w:t>
            </w:r>
            <w:r w:rsidR="00382E19" w:rsidRPr="00382E19">
              <w:rPr>
                <w:rFonts w:ascii="Times New Roman" w:hAnsi="Times New Roman" w:cs="Times New Roman"/>
                <w:sz w:val="24"/>
                <w:lang w:val="fr-FR"/>
              </w:rPr>
              <w:t xml:space="preserve">  </w:t>
            </w:r>
            <w:r w:rsidR="00E63E68">
              <w:rPr>
                <w:rFonts w:ascii="Times New Roman" w:hAnsi="Times New Roman" w:cs="Times New Roman"/>
                <w:sz w:val="24"/>
                <w:lang w:val="fr-FR"/>
              </w:rPr>
              <w:t xml:space="preserve">un </w:t>
            </w:r>
            <w:r w:rsidR="00382E19" w:rsidRPr="00382E19">
              <w:rPr>
                <w:rFonts w:ascii="Times New Roman" w:hAnsi="Times New Roman" w:cs="Times New Roman"/>
                <w:sz w:val="24"/>
                <w:lang w:val="fr-FR"/>
              </w:rPr>
              <w:t xml:space="preserve">désintérêt à l’élément.  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A2552C" w:rsidRPr="00903D0D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903D0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Menaces éventuelles sur la transmission de l’élément dans la (les) communauté(s) concernée(s)</w:t>
            </w:r>
          </w:p>
          <w:p w:rsidR="00382E19" w:rsidRPr="00382E19" w:rsidRDefault="00E63E68" w:rsidP="00382E19">
            <w:pPr>
              <w:pStyle w:val="Commentair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Désengagement de la </w:t>
            </w:r>
            <w:r w:rsidR="00382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famille dans l’éducation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culturelle </w:t>
            </w:r>
            <w:r w:rsidR="00382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jeunes au profit de l’éducation formelle</w:t>
            </w:r>
            <w:r w:rsidR="00903D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:rsidR="00382E19" w:rsidRPr="00382E19" w:rsidRDefault="0079114F" w:rsidP="00382E19">
            <w:pPr>
              <w:pStyle w:val="Commentair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="00382E19" w:rsidRPr="00382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déstructuration des cadres de transmission</w:t>
            </w:r>
            <w:r w:rsidR="00E63E6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l’éducation socio culturelle  (ndut ou case de l’homme, contes…</w:t>
            </w:r>
            <w:r w:rsidR="00382E19" w:rsidRPr="00382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 w:rsidR="00903D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:rsidR="00B82EBA" w:rsidRPr="0051675B" w:rsidRDefault="00382E19" w:rsidP="00C46FC9">
            <w:pPr>
              <w:pStyle w:val="Commentair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82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E63E6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 vieillissement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détenteurs</w:t>
            </w:r>
            <w:r w:rsidRPr="00382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:rsidR="005F02F3" w:rsidRDefault="00A2552C" w:rsidP="005F02F3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903D0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054175" w:rsidRPr="005F02F3" w:rsidRDefault="006E7E78" w:rsidP="005F02F3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R</w:t>
            </w:r>
            <w:r w:rsidRPr="006E7E78">
              <w:rPr>
                <w:rFonts w:ascii="Times New Roman" w:hAnsi="Times New Roman" w:cs="Times New Roman"/>
                <w:sz w:val="24"/>
                <w:lang w:val="fr-FR"/>
              </w:rPr>
              <w:t>enchérissement du coût des bovins qui fait que beaucoup de personnes ne peuvent pas s’en procurer pour l’accomplissement d’un aspect du rituel ; notamment l’immolation des bovins.</w:t>
            </w:r>
          </w:p>
        </w:tc>
      </w:tr>
      <w:tr w:rsidR="00A2552C" w:rsidRPr="0051675B" w:rsidTr="00B82EBA">
        <w:trPr>
          <w:trHeight w:val="1515"/>
        </w:trPr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:rsidR="00A2552C" w:rsidRPr="00903D0D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903D0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Viabilité des autres éléments du patrimoine immatériel (le cas échéant) associés à </w:t>
            </w:r>
            <w:r w:rsidR="00054175" w:rsidRPr="00903D0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l’élément du PCI</w:t>
            </w:r>
          </w:p>
          <w:p w:rsidR="00B82EBA" w:rsidRPr="00054175" w:rsidRDefault="006E7E78" w:rsidP="006E7E78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La plupart des éléments immatériels associés à l’élément sont toujours  vivants. Cependant les chants et la danse sont de plus en plus  abandonnés</w:t>
            </w:r>
            <w:r w:rsidR="00903D0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</w:tc>
      </w:tr>
      <w:tr w:rsidR="00B82EBA" w:rsidRPr="0051675B" w:rsidTr="00FD328A">
        <w:trPr>
          <w:trHeight w:val="960"/>
        </w:trPr>
        <w:tc>
          <w:tcPr>
            <w:tcW w:w="567" w:type="dxa"/>
            <w:shd w:val="clear" w:color="auto" w:fill="auto"/>
          </w:tcPr>
          <w:p w:rsidR="00B82EBA" w:rsidRPr="0051675B" w:rsidRDefault="00B82EBA" w:rsidP="008C2AA2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</w:tc>
        <w:tc>
          <w:tcPr>
            <w:tcW w:w="8283" w:type="dxa"/>
            <w:shd w:val="clear" w:color="auto" w:fill="auto"/>
          </w:tcPr>
          <w:p w:rsidR="00B82EBA" w:rsidRPr="00903D0D" w:rsidRDefault="00B82EBA" w:rsidP="008C2AA2">
            <w:pPr>
              <w:spacing w:before="80" w:after="0" w:line="276" w:lineRule="auto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3.5. </w:t>
            </w:r>
            <w:r w:rsidRPr="00903D0D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 xml:space="preserve">Mesures de sauvegarde ou autres (le cas échéant) adoptées pour faire face à ces menaces et encourager la pratiques de la transmission de l’élément du PCI à l’avenir </w:t>
            </w:r>
          </w:p>
          <w:p w:rsidR="008C2AA2" w:rsidRPr="00903D0D" w:rsidRDefault="008C2AA2" w:rsidP="008C2AA2">
            <w:pPr>
              <w:spacing w:before="80" w:after="0" w:line="276" w:lineRule="auto"/>
              <w:rPr>
                <w:rFonts w:ascii="Times New Roman" w:hAnsi="Times New Roman" w:cs="Times New Roman"/>
                <w:i/>
                <w:sz w:val="24"/>
                <w:lang w:val="fr-FR" w:eastAsia="fr-FR"/>
              </w:rPr>
            </w:pPr>
            <w:r w:rsidRPr="00903D0D">
              <w:rPr>
                <w:rFonts w:ascii="Times New Roman" w:hAnsi="Times New Roman" w:cs="Times New Roman"/>
                <w:i/>
                <w:sz w:val="24"/>
                <w:lang w:val="fr-FR" w:eastAsia="fr-FR"/>
              </w:rPr>
              <w:t>Face aux menaces, des actions sont entreprises pour la pérennité de l’l’élément. Il s’agit :</w:t>
            </w:r>
          </w:p>
          <w:p w:rsidR="008C2AA2" w:rsidRPr="008C2AA2" w:rsidRDefault="006222F7" w:rsidP="008C2AA2">
            <w:pPr>
              <w:pStyle w:val="Paragraphedeliste"/>
              <w:numPr>
                <w:ilvl w:val="0"/>
                <w:numId w:val="2"/>
              </w:numPr>
              <w:spacing w:before="80" w:after="0" w:line="276" w:lineRule="auto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Des conférences sont tenues lors des assemblées familiales </w:t>
            </w:r>
            <w:r w:rsidR="00903D0D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ou « tours »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pour sensibiliser autour   des événements les plus importants de la société seereer (le  mariage et la mort)</w:t>
            </w:r>
            <w:r w:rsidR="00903D0D">
              <w:rPr>
                <w:rFonts w:ascii="Times New Roman" w:hAnsi="Times New Roman" w:cs="Times New Roman"/>
                <w:sz w:val="24"/>
                <w:lang w:val="fr-FR" w:eastAsia="fr-FR"/>
              </w:rPr>
              <w:t>,</w:t>
            </w:r>
          </w:p>
          <w:p w:rsidR="008C2AA2" w:rsidRDefault="006222F7" w:rsidP="008C2AA2">
            <w:pPr>
              <w:pStyle w:val="Paragraphedeliste"/>
              <w:numPr>
                <w:ilvl w:val="0"/>
                <w:numId w:val="2"/>
              </w:numPr>
              <w:spacing w:before="80" w:after="0" w:line="276" w:lineRule="auto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L’adaptation </w:t>
            </w:r>
            <w:r w:rsidR="008C2AA2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à la conjoncture. </w:t>
            </w:r>
            <w:r w:rsidR="002A0202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Le nombre de bœufs </w:t>
            </w:r>
            <w:r w:rsidR="007F300E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 </w:t>
            </w:r>
            <w:r w:rsidR="002A0202">
              <w:rPr>
                <w:rFonts w:ascii="Times New Roman" w:hAnsi="Times New Roman" w:cs="Times New Roman"/>
                <w:sz w:val="24"/>
                <w:lang w:val="fr-FR" w:eastAsia="fr-FR"/>
              </w:rPr>
              <w:t>immolé</w:t>
            </w:r>
            <w:r w:rsidR="00903D0D">
              <w:rPr>
                <w:rFonts w:ascii="Times New Roman" w:hAnsi="Times New Roman" w:cs="Times New Roman"/>
                <w:sz w:val="24"/>
                <w:lang w:val="fr-FR" w:eastAsia="fr-FR"/>
              </w:rPr>
              <w:t>s</w:t>
            </w:r>
            <w:r w:rsidR="002A0202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903D0D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est </w:t>
            </w:r>
            <w:r w:rsidR="002A0202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diminué au profit de participations fin</w:t>
            </w:r>
            <w:r w:rsidR="00903D0D">
              <w:rPr>
                <w:rFonts w:ascii="Times New Roman" w:hAnsi="Times New Roman" w:cs="Times New Roman"/>
                <w:sz w:val="24"/>
                <w:lang w:val="fr-FR" w:eastAsia="fr-FR"/>
              </w:rPr>
              <w:t>ancières  symboliques en espèce,</w:t>
            </w:r>
          </w:p>
          <w:p w:rsidR="00FD328A" w:rsidRPr="0051675B" w:rsidRDefault="008C2AA2" w:rsidP="006222F7">
            <w:pPr>
              <w:pStyle w:val="Paragraphedeliste"/>
              <w:numPr>
                <w:ilvl w:val="0"/>
                <w:numId w:val="2"/>
              </w:numPr>
              <w:spacing w:before="80" w:after="0" w:line="276" w:lineRule="auto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6222F7">
              <w:rPr>
                <w:rFonts w:ascii="Times New Roman" w:hAnsi="Times New Roman" w:cs="Times New Roman"/>
                <w:sz w:val="24"/>
                <w:lang w:val="fr-FR" w:eastAsia="fr-FR"/>
              </w:rPr>
              <w:t>Les familles impliquées s’organisent autour d’une solidarité agissante</w:t>
            </w:r>
            <w:r w:rsidR="006222F7" w:rsidRPr="006222F7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et de manière discrète </w:t>
            </w:r>
            <w:r w:rsidRPr="006222F7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pour aider l’un des leurs à s’acquitter de ses obligations</w:t>
            </w:r>
          </w:p>
        </w:tc>
      </w:tr>
      <w:tr w:rsidR="00FD328A" w:rsidRPr="0051675B" w:rsidTr="00222179">
        <w:trPr>
          <w:trHeight w:val="545"/>
        </w:trPr>
        <w:tc>
          <w:tcPr>
            <w:tcW w:w="567" w:type="dxa"/>
            <w:shd w:val="clear" w:color="auto" w:fill="auto"/>
          </w:tcPr>
          <w:p w:rsidR="00FD328A" w:rsidRPr="0051675B" w:rsidRDefault="00FD328A" w:rsidP="00054175">
            <w:pPr>
              <w:spacing w:before="80" w:after="960"/>
              <w:jc w:val="righ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</w:tc>
        <w:tc>
          <w:tcPr>
            <w:tcW w:w="8283" w:type="dxa"/>
            <w:shd w:val="clear" w:color="auto" w:fill="auto"/>
          </w:tcPr>
          <w:p w:rsidR="00FD328A" w:rsidRPr="00903D0D" w:rsidRDefault="00FD328A" w:rsidP="00222179">
            <w:pPr>
              <w:spacing w:before="80" w:after="0" w:line="200" w:lineRule="exact"/>
              <w:rPr>
                <w:i/>
                <w:lang w:val="fr-FR"/>
              </w:rPr>
            </w:pPr>
            <w:r>
              <w:rPr>
                <w:lang w:val="fr-FR"/>
              </w:rPr>
              <w:t>3.6</w:t>
            </w:r>
            <w:r w:rsidRPr="00F92B5B">
              <w:rPr>
                <w:rFonts w:ascii="Times New Roman" w:hAnsi="Times New Roman" w:cs="Times New Roman"/>
                <w:sz w:val="24"/>
                <w:lang w:val="fr-FR"/>
              </w:rPr>
              <w:t xml:space="preserve">. </w:t>
            </w:r>
            <w:r w:rsidRPr="00903D0D">
              <w:rPr>
                <w:rFonts w:ascii="Times New Roman" w:hAnsi="Times New Roman" w:cs="Times New Roman"/>
                <w:i/>
                <w:sz w:val="24"/>
                <w:lang w:val="fr-FR"/>
              </w:rPr>
              <w:t>Modifications et transformations intervenues dans la pratique de l’élément</w:t>
            </w:r>
          </w:p>
          <w:p w:rsidR="0002645A" w:rsidRPr="00903D0D" w:rsidRDefault="00F92B5B" w:rsidP="00F92B5B">
            <w:pPr>
              <w:spacing w:before="80" w:after="0" w:line="276" w:lineRule="auto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903D0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La pratique, même vivante, a évolué dans beaucoup de ses aspects. </w:t>
            </w:r>
          </w:p>
          <w:p w:rsidR="00F92B5B" w:rsidRDefault="0002645A" w:rsidP="00F92B5B">
            <w:pPr>
              <w:spacing w:before="80" w:after="0" w:line="276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-</w:t>
            </w:r>
            <w:r w:rsidR="00F92B5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BC652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FD328A" w:rsidRPr="00CB7A3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Jadis  le  toit de la case du défunt  était  mis sur la tombe avant d’être couvert de sable sous la direction du </w:t>
            </w:r>
            <w:r w:rsidR="00FD328A" w:rsidRPr="00CB7A3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koumakh (sage et gardien de la case des hommes)  et son adjoint </w:t>
            </w:r>
            <w:r w:rsidR="00F92B5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903D0D">
              <w:rPr>
                <w:rFonts w:ascii="Times New Roman" w:hAnsi="Times New Roman" w:cs="Times New Roman"/>
                <w:sz w:val="24"/>
                <w:shd w:val="clear" w:color="auto" w:fill="FFFFFF"/>
              </w:rPr>
              <w:t>appelé “k</w:t>
            </w:r>
            <w:r w:rsidR="00FD328A" w:rsidRPr="00CB7A3D">
              <w:rPr>
                <w:rFonts w:ascii="Times New Roman" w:hAnsi="Times New Roman" w:cs="Times New Roman"/>
                <w:sz w:val="24"/>
                <w:shd w:val="clear" w:color="auto" w:fill="FFFFFF"/>
              </w:rPr>
              <w:t>alma kossi”.</w:t>
            </w:r>
            <w:r w:rsidR="00903D0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ette pratique était pour pr</w:t>
            </w:r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>é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server la tombe </w:t>
            </w:r>
            <w:r w:rsidR="007F300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des intempéries,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car</w:t>
            </w:r>
            <w:r w:rsidR="007F300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à</w:t>
            </w:r>
            <w:r w:rsidR="002A020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903D0D">
              <w:rPr>
                <w:rFonts w:ascii="Times New Roman" w:hAnsi="Times New Roman" w:cs="Times New Roman"/>
                <w:sz w:val="24"/>
                <w:shd w:val="clear" w:color="auto" w:fill="FFFFFF"/>
              </w:rPr>
              <w:t>l’époque il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n’y</w:t>
            </w:r>
            <w:r w:rsidR="007F300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avait pas de </w:t>
            </w:r>
            <w:r w:rsidR="00BC652B">
              <w:rPr>
                <w:rFonts w:ascii="Times New Roman" w:hAnsi="Times New Roman" w:cs="Times New Roman"/>
                <w:sz w:val="24"/>
                <w:shd w:val="clear" w:color="auto" w:fill="FFFFFF"/>
              </w:rPr>
              <w:t>construction</w:t>
            </w:r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en dur. Ainsi,</w:t>
            </w:r>
            <w:r w:rsidR="00F92B5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903D0D">
              <w:rPr>
                <w:rFonts w:ascii="Times New Roman" w:hAnsi="Times New Roman" w:cs="Times New Roman"/>
                <w:sz w:val="24"/>
                <w:shd w:val="clear" w:color="auto" w:fill="FFFFFF"/>
              </w:rPr>
              <w:t>un tumulus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se formait et durait </w:t>
            </w:r>
            <w:r w:rsidR="00903D0D">
              <w:rPr>
                <w:rFonts w:ascii="Times New Roman" w:hAnsi="Times New Roman" w:cs="Times New Roman"/>
                <w:sz w:val="24"/>
                <w:shd w:val="clear" w:color="auto" w:fill="FFFFFF"/>
              </w:rPr>
              <w:t>dams</w:t>
            </w:r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le temps,</w:t>
            </w:r>
          </w:p>
          <w:p w:rsidR="0002645A" w:rsidRDefault="0002645A" w:rsidP="00F92B5B">
            <w:pPr>
              <w:spacing w:before="80" w:after="0" w:line="276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</w:t>
            </w:r>
            <w:r w:rsidR="00BC652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Les griots étaient enterrés dans des baobabs et non sur terre. Selon les informations recueilli</w:t>
            </w:r>
            <w:r w:rsidR="00DF4EFB">
              <w:rPr>
                <w:rFonts w:ascii="Times New Roman" w:hAnsi="Times New Roman" w:cs="Times New Roman"/>
                <w:sz w:val="24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s, certains disent qu</w:t>
            </w:r>
            <w:r w:rsidR="00DF4EFB">
              <w:rPr>
                <w:rFonts w:ascii="Times New Roman" w:hAnsi="Times New Roman" w:cs="Times New Roman"/>
                <w:sz w:val="24"/>
                <w:shd w:val="clear" w:color="auto" w:fill="FFFFFF"/>
              </w:rPr>
              <w:t>e c’était compte tenu de la noblesse de</w:t>
            </w:r>
            <w:r w:rsidR="007F300E">
              <w:rPr>
                <w:rFonts w:ascii="Times New Roman" w:hAnsi="Times New Roman" w:cs="Times New Roman"/>
                <w:sz w:val="24"/>
                <w:shd w:val="clear" w:color="auto" w:fill="FFFFFF"/>
              </w:rPr>
              <w:t>s</w:t>
            </w:r>
            <w:r w:rsidR="00DF4EF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903D0D">
              <w:rPr>
                <w:rFonts w:ascii="Times New Roman" w:hAnsi="Times New Roman" w:cs="Times New Roman"/>
                <w:sz w:val="24"/>
                <w:shd w:val="clear" w:color="auto" w:fill="FFFFFF"/>
              </w:rPr>
              <w:t>griots,</w:t>
            </w:r>
            <w:r w:rsidR="007F300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pour </w:t>
            </w:r>
            <w:proofErr w:type="spellStart"/>
            <w:r w:rsidR="007F300E">
              <w:rPr>
                <w:rFonts w:ascii="Times New Roman" w:hAnsi="Times New Roman" w:cs="Times New Roman"/>
                <w:sz w:val="24"/>
                <w:shd w:val="clear" w:color="auto" w:fill="FFFFFF"/>
              </w:rPr>
              <w:t>d’autres</w:t>
            </w:r>
            <w:proofErr w:type="spellEnd"/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="007F300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>ils</w:t>
            </w:r>
            <w:proofErr w:type="spellEnd"/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souillaient la terre, </w:t>
            </w:r>
            <w:r w:rsidR="00DF4EF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7F300E" w:rsidRDefault="007F300E" w:rsidP="00F92B5B">
            <w:pPr>
              <w:spacing w:before="80" w:after="0" w:line="276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L’annonce du déces se faisait avec un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rythme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part</w:t>
            </w:r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>iculier</w:t>
            </w:r>
            <w:proofErr w:type="spellEnd"/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de </w:t>
            </w:r>
            <w:proofErr w:type="spellStart"/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>deuil</w:t>
            </w:r>
            <w:proofErr w:type="spellEnd"/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>exécuté</w:t>
            </w:r>
            <w:proofErr w:type="spellEnd"/>
            <w:r w:rsidR="005F02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par le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griot.</w:t>
            </w:r>
          </w:p>
          <w:p w:rsidR="00DF4EFB" w:rsidRPr="00F92B5B" w:rsidRDefault="00DF4EFB" w:rsidP="00F92B5B">
            <w:pPr>
              <w:spacing w:before="80" w:after="0" w:line="276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-</w:t>
            </w:r>
            <w:r w:rsidR="00BC652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En sus de l’immolation de bœufs,  des « daamsaan » ou </w:t>
            </w:r>
            <w:r w:rsidR="005965A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dames j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eanne</w:t>
            </w:r>
            <w:r w:rsidR="005965A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rempli</w:t>
            </w:r>
            <w:r w:rsidR="005965A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es de vin étaient très  présents dans l’organisation du rite.</w:t>
            </w:r>
          </w:p>
          <w:p w:rsidR="003B23BA" w:rsidRPr="003B23BA" w:rsidRDefault="003B23BA" w:rsidP="003B23BA">
            <w:pPr>
              <w:pStyle w:val="Paragraphedeliste"/>
              <w:numPr>
                <w:ilvl w:val="0"/>
                <w:numId w:val="1"/>
              </w:numPr>
              <w:spacing w:before="80" w:after="0" w:line="200" w:lineRule="exac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3B23B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 xml:space="preserve">ACCES RESTREINT AUX DONNEES ET AUTORISATIONS 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A2552C" w:rsidRPr="005F02F3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5F02F3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Consentement et participation de la (des) communauté(s) concernée(s) au recueil des données</w:t>
            </w:r>
          </w:p>
          <w:p w:rsidR="00054175" w:rsidRPr="0051675B" w:rsidRDefault="00CF5652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</w:t>
            </w:r>
            <w:r w:rsidR="002A020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es populations ont   accepté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sans réticences de donner les informations sur l’élément.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A2552C" w:rsidRPr="005F02F3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5F02F3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Restrictions et autorisations concernant les données</w:t>
            </w:r>
          </w:p>
          <w:p w:rsidR="00054175" w:rsidRPr="00054175" w:rsidRDefault="00054175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054175"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  <w:t>NEANT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A2552C" w:rsidRPr="005F02F3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5F02F3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Personne(s) ressource(s) : nom et statut </w:t>
            </w:r>
          </w:p>
          <w:p w:rsidR="00054175" w:rsidRPr="00252EC4" w:rsidRDefault="00054175" w:rsidP="00252EC4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252EC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Joseph Diène FAYE, Notable</w:t>
            </w:r>
          </w:p>
          <w:p w:rsidR="00252EC4" w:rsidRPr="00252EC4" w:rsidRDefault="00252EC4" w:rsidP="00252EC4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252EC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Maad DIOUF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r w:rsidRPr="00252EC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Notable</w:t>
            </w:r>
          </w:p>
          <w:p w:rsidR="00054175" w:rsidRPr="00252EC4" w:rsidRDefault="00054175" w:rsidP="00252EC4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252EC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Kholé DIOUF, Notable </w:t>
            </w:r>
          </w:p>
        </w:tc>
      </w:tr>
      <w:tr w:rsidR="00A2552C" w:rsidRPr="0051675B" w:rsidTr="00116E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A2552C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Date(s) et lieu(x) de recueil des données</w:t>
            </w:r>
          </w:p>
          <w:p w:rsidR="00054175" w:rsidRPr="0051675B" w:rsidRDefault="00252EC4" w:rsidP="00054175">
            <w:p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11 avril 2019 à </w:t>
            </w:r>
            <w:r w:rsidR="0005417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Meem  Diohine et Toucar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Références relatives à l’élément du PCI (le cas échéant)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A2552C" w:rsidRPr="005F02F3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</w:pPr>
            <w:r w:rsidRPr="005F02F3"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  <w:t>Monographies / Manuscrits conservés dans des bibliothèques, librairies ou détenus par des particuliers</w:t>
            </w:r>
          </w:p>
          <w:p w:rsidR="00054175" w:rsidRDefault="00054175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Mémoires </w:t>
            </w:r>
            <w:r w:rsidR="00252EC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 Mme</w:t>
            </w:r>
            <w:r w:rsidR="002A020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252EC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Ngakane GNING</w:t>
            </w:r>
            <w:r w:rsidR="005F02F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Animatrice Culturelle </w:t>
            </w:r>
            <w:r w:rsidR="00252EC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(Ecole Nationale des Arts)</w:t>
            </w:r>
            <w:r w:rsidR="005F02F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 : Le thème de la mort chez les </w:t>
            </w:r>
            <w:proofErr w:type="spellStart"/>
            <w:r w:rsidR="005F02F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seereer</w:t>
            </w:r>
            <w:proofErr w:type="spellEnd"/>
            <w:r w:rsidR="005F02F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054175" w:rsidRDefault="002A0202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Ouvrage </w:t>
            </w:r>
            <w:r w:rsidR="0005417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(Littérature de la mort en milieu </w:t>
            </w:r>
            <w:proofErr w:type="spellStart"/>
            <w:r w:rsidR="0005417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seereer</w:t>
            </w:r>
            <w:proofErr w:type="spellEnd"/>
            <w:r w:rsidR="0005417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 </w:t>
            </w:r>
            <w:r w:rsidR="00C51BF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d’Amade</w:t>
            </w:r>
            <w:r w:rsidR="005F02F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Faye </w:t>
            </w:r>
            <w:r w:rsidR="0005417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UCAD)</w:t>
            </w:r>
            <w:r w:rsidR="005F02F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054175" w:rsidRPr="0051675B" w:rsidRDefault="00054175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Ouvrage collectif (Voyage en pays seereer sous la direction de Monsieur Michaêl Augeron, Fabrice Bonnifait, Amade Faye et Raphaêl Ndiaye</w:t>
            </w:r>
            <w:proofErr w:type="gram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) </w:t>
            </w:r>
            <w:r w:rsidR="005F02F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  <w:proofErr w:type="gramEnd"/>
          </w:p>
        </w:tc>
      </w:tr>
      <w:tr w:rsidR="00A2552C" w:rsidRPr="0051675B" w:rsidTr="00A4025E">
        <w:trPr>
          <w:trHeight w:val="614"/>
        </w:trPr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5.2.</w:t>
            </w:r>
          </w:p>
        </w:tc>
        <w:tc>
          <w:tcPr>
            <w:tcW w:w="8283" w:type="dxa"/>
            <w:shd w:val="clear" w:color="auto" w:fill="auto"/>
          </w:tcPr>
          <w:p w:rsidR="00A2552C" w:rsidRPr="005F02F3" w:rsidRDefault="00A2552C" w:rsidP="00054175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i/>
                <w:caps/>
                <w:kern w:val="28"/>
                <w:sz w:val="24"/>
                <w:lang w:val="fr-FR" w:eastAsia="fr-FR"/>
              </w:rPr>
            </w:pPr>
            <w:r w:rsidRPr="005F02F3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Enregistrements audiovisuels conservés dans des archives, musées et collections privées (le cas échéant)</w:t>
            </w:r>
          </w:p>
        </w:tc>
      </w:tr>
      <w:tr w:rsidR="00A2552C" w:rsidRPr="0051675B" w:rsidTr="00A4025E">
        <w:trPr>
          <w:trHeight w:val="519"/>
        </w:trPr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054175" w:rsidRPr="005F02F3" w:rsidRDefault="00A2552C" w:rsidP="00A4025E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caps/>
                <w:kern w:val="28"/>
                <w:sz w:val="24"/>
                <w:lang w:val="fr-FR" w:eastAsia="fr-FR"/>
              </w:rPr>
            </w:pPr>
            <w:r w:rsidRPr="005F02F3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Objets conservés dans des archives, musées et collections privées (le cas échéant)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-6.</w:t>
            </w:r>
          </w:p>
        </w:tc>
        <w:tc>
          <w:tcPr>
            <w:tcW w:w="8283" w:type="dxa"/>
            <w:shd w:val="clear" w:color="auto" w:fill="F2F2F2"/>
          </w:tcPr>
          <w:p w:rsidR="00A2552C" w:rsidRPr="0051675B" w:rsidRDefault="00A2552C" w:rsidP="00054175">
            <w:pPr>
              <w:spacing w:before="80" w:after="8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en-GB" w:eastAsia="fr-FR"/>
              </w:rPr>
              <w:t>Données d’inventaire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A2552C" w:rsidRPr="005F02F3" w:rsidRDefault="00A2552C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5F02F3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Nom et contacts de la personne(s) ayant compilé les données de l’inventaire</w:t>
            </w:r>
          </w:p>
          <w:p w:rsidR="00054175" w:rsidRDefault="00054175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Mme Ngakane GNING, Directrice Centre Culturel Régional de Fatick 77 651 50 70</w:t>
            </w:r>
          </w:p>
          <w:p w:rsidR="00054175" w:rsidRPr="0051675B" w:rsidRDefault="00054175" w:rsidP="00054175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Mr Ibrahima DIOUME, Animateur Culturel au Centre Culturel Régional de Fatick 77</w:t>
            </w:r>
            <w:r w:rsidR="003357C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631</w:t>
            </w:r>
            <w:r w:rsidR="003357C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23 16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:rsidR="00A2552C" w:rsidRPr="005F02F3" w:rsidRDefault="00A2552C" w:rsidP="00054175">
            <w:pPr>
              <w:spacing w:before="80" w:after="0" w:line="276" w:lineRule="auto"/>
              <w:ind w:left="113" w:right="57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5F02F3">
              <w:rPr>
                <w:rFonts w:ascii="Times New Roman" w:hAnsi="Times New Roman" w:cs="Times New Roman"/>
                <w:i/>
                <w:snapToGrid/>
                <w:sz w:val="24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054175" w:rsidRPr="0051675B" w:rsidRDefault="00054175" w:rsidP="00054175">
            <w:pPr>
              <w:spacing w:before="80" w:after="0" w:line="276" w:lineRule="auto"/>
              <w:ind w:left="113"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Enregistrement audio N°3</w:t>
            </w:r>
          </w:p>
        </w:tc>
      </w:tr>
      <w:tr w:rsidR="00A2552C" w:rsidRPr="0051675B" w:rsidTr="00116EBE">
        <w:tc>
          <w:tcPr>
            <w:tcW w:w="567" w:type="dxa"/>
            <w:shd w:val="clear" w:color="auto" w:fill="auto"/>
          </w:tcPr>
          <w:p w:rsidR="00A2552C" w:rsidRPr="0051675B" w:rsidRDefault="00A2552C" w:rsidP="00054175">
            <w:pPr>
              <w:spacing w:before="80" w:after="48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1675B">
              <w:rPr>
                <w:rFonts w:ascii="Times New Roman" w:hAnsi="Times New Roman" w:cs="Times New Roman"/>
                <w:sz w:val="24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A2552C" w:rsidRPr="005F02F3" w:rsidRDefault="00A2552C" w:rsidP="00F72640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5F02F3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Date d’enregistrement des données à l’inventaire</w:t>
            </w:r>
          </w:p>
          <w:p w:rsidR="00F72640" w:rsidRPr="0051675B" w:rsidRDefault="00F72640" w:rsidP="00F72640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17 avril 2019</w:t>
            </w:r>
          </w:p>
        </w:tc>
      </w:tr>
    </w:tbl>
    <w:p w:rsidR="00A2552C" w:rsidRPr="0051675B" w:rsidRDefault="00A2552C" w:rsidP="00054175">
      <w:pPr>
        <w:pStyle w:val="Texte1"/>
        <w:spacing w:line="276" w:lineRule="auto"/>
        <w:rPr>
          <w:rFonts w:ascii="Times New Roman" w:hAnsi="Times New Roman" w:cs="Times New Roman"/>
          <w:sz w:val="24"/>
        </w:rPr>
      </w:pPr>
    </w:p>
    <w:p w:rsidR="00C5129E" w:rsidRPr="0051675B" w:rsidRDefault="00C5129E" w:rsidP="00054175">
      <w:pPr>
        <w:spacing w:line="276" w:lineRule="auto"/>
        <w:rPr>
          <w:rFonts w:ascii="Times New Roman" w:hAnsi="Times New Roman" w:cs="Times New Roman"/>
          <w:sz w:val="24"/>
        </w:rPr>
      </w:pPr>
    </w:p>
    <w:sectPr w:rsidR="00C5129E" w:rsidRPr="0051675B" w:rsidSect="00116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18" w:rsidRDefault="002C2E18" w:rsidP="0020272C">
      <w:pPr>
        <w:spacing w:before="0" w:after="0"/>
      </w:pPr>
      <w:r>
        <w:separator/>
      </w:r>
    </w:p>
  </w:endnote>
  <w:endnote w:type="continuationSeparator" w:id="0">
    <w:p w:rsidR="002C2E18" w:rsidRDefault="002C2E18" w:rsidP="002027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BE" w:rsidRPr="00E948A2" w:rsidRDefault="00116EBE" w:rsidP="00116EBE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BE" w:rsidRPr="00342E35" w:rsidRDefault="002B3207" w:rsidP="00116EBE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BE" w:rsidRPr="00342E35" w:rsidRDefault="00116EBE" w:rsidP="00116EBE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18" w:rsidRDefault="002C2E18" w:rsidP="0020272C">
      <w:pPr>
        <w:spacing w:before="0" w:after="0"/>
      </w:pPr>
      <w:r>
        <w:separator/>
      </w:r>
    </w:p>
  </w:footnote>
  <w:footnote w:type="continuationSeparator" w:id="0">
    <w:p w:rsidR="002C2E18" w:rsidRDefault="002C2E18" w:rsidP="002027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BE" w:rsidRPr="00342E35" w:rsidRDefault="002B3207" w:rsidP="00116EBE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A8707C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A8707C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="00A8707C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BE" w:rsidRPr="00342E35" w:rsidRDefault="002B3207" w:rsidP="00116EBE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A8707C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A8707C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D637C">
      <w:rPr>
        <w:rFonts w:eastAsia="Calibri" w:cs="Times New Roman"/>
        <w:noProof/>
        <w:snapToGrid/>
        <w:sz w:val="16"/>
        <w:szCs w:val="22"/>
        <w:lang w:val="it-IT" w:eastAsia="en-US"/>
      </w:rPr>
      <w:t>6</w:t>
    </w:r>
    <w:r w:rsidR="00A8707C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BE" w:rsidRPr="005732C3" w:rsidRDefault="002B3207" w:rsidP="00116EBE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16F7E"/>
    <w:multiLevelType w:val="hybridMultilevel"/>
    <w:tmpl w:val="95C29E42"/>
    <w:lvl w:ilvl="0" w:tplc="B406CF7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C1E62"/>
    <w:multiLevelType w:val="hybridMultilevel"/>
    <w:tmpl w:val="2368AC76"/>
    <w:lvl w:ilvl="0" w:tplc="FED0F448">
      <w:start w:val="1"/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2C"/>
    <w:rsid w:val="00016CEF"/>
    <w:rsid w:val="0002645A"/>
    <w:rsid w:val="0003188B"/>
    <w:rsid w:val="00054175"/>
    <w:rsid w:val="001029FD"/>
    <w:rsid w:val="00116EBE"/>
    <w:rsid w:val="00122314"/>
    <w:rsid w:val="00144B65"/>
    <w:rsid w:val="001B0135"/>
    <w:rsid w:val="001D58A3"/>
    <w:rsid w:val="0020272C"/>
    <w:rsid w:val="00222179"/>
    <w:rsid w:val="00230778"/>
    <w:rsid w:val="00252EC4"/>
    <w:rsid w:val="002A0202"/>
    <w:rsid w:val="002B3207"/>
    <w:rsid w:val="002C2E18"/>
    <w:rsid w:val="00320B10"/>
    <w:rsid w:val="00330B5A"/>
    <w:rsid w:val="003357C6"/>
    <w:rsid w:val="00382E19"/>
    <w:rsid w:val="003A0956"/>
    <w:rsid w:val="003B23BA"/>
    <w:rsid w:val="003B6298"/>
    <w:rsid w:val="003C61A6"/>
    <w:rsid w:val="0044342E"/>
    <w:rsid w:val="0045710C"/>
    <w:rsid w:val="00485FD4"/>
    <w:rsid w:val="0051675B"/>
    <w:rsid w:val="0052054B"/>
    <w:rsid w:val="005353D8"/>
    <w:rsid w:val="0055703E"/>
    <w:rsid w:val="00582EBC"/>
    <w:rsid w:val="005965A5"/>
    <w:rsid w:val="005D60A0"/>
    <w:rsid w:val="005D637C"/>
    <w:rsid w:val="005E2FFC"/>
    <w:rsid w:val="005F02F3"/>
    <w:rsid w:val="006222F7"/>
    <w:rsid w:val="00641E17"/>
    <w:rsid w:val="006539B8"/>
    <w:rsid w:val="006646F2"/>
    <w:rsid w:val="00665CD5"/>
    <w:rsid w:val="00674D37"/>
    <w:rsid w:val="006A7A25"/>
    <w:rsid w:val="006D4954"/>
    <w:rsid w:val="006E1073"/>
    <w:rsid w:val="006E7E78"/>
    <w:rsid w:val="0079069C"/>
    <w:rsid w:val="0079114F"/>
    <w:rsid w:val="007E38D2"/>
    <w:rsid w:val="007F300E"/>
    <w:rsid w:val="00800A23"/>
    <w:rsid w:val="00822A9D"/>
    <w:rsid w:val="00824907"/>
    <w:rsid w:val="00835E56"/>
    <w:rsid w:val="008C2AA2"/>
    <w:rsid w:val="008D41C0"/>
    <w:rsid w:val="008F1300"/>
    <w:rsid w:val="00903B79"/>
    <w:rsid w:val="00903D0D"/>
    <w:rsid w:val="00914C82"/>
    <w:rsid w:val="009A71AF"/>
    <w:rsid w:val="009C6A30"/>
    <w:rsid w:val="009D6909"/>
    <w:rsid w:val="009E410C"/>
    <w:rsid w:val="00A24B06"/>
    <w:rsid w:val="00A2552C"/>
    <w:rsid w:val="00A4025E"/>
    <w:rsid w:val="00A4397E"/>
    <w:rsid w:val="00A43BE3"/>
    <w:rsid w:val="00A578A6"/>
    <w:rsid w:val="00A8707C"/>
    <w:rsid w:val="00AB407B"/>
    <w:rsid w:val="00AD617F"/>
    <w:rsid w:val="00AE6B71"/>
    <w:rsid w:val="00AF4806"/>
    <w:rsid w:val="00AF533A"/>
    <w:rsid w:val="00B3135D"/>
    <w:rsid w:val="00B82EBA"/>
    <w:rsid w:val="00B95D2C"/>
    <w:rsid w:val="00BC652B"/>
    <w:rsid w:val="00BD7953"/>
    <w:rsid w:val="00C0492B"/>
    <w:rsid w:val="00C052B4"/>
    <w:rsid w:val="00C17F96"/>
    <w:rsid w:val="00C46FC9"/>
    <w:rsid w:val="00C5129E"/>
    <w:rsid w:val="00C51BFD"/>
    <w:rsid w:val="00C738A5"/>
    <w:rsid w:val="00CA6DB8"/>
    <w:rsid w:val="00CB7A3D"/>
    <w:rsid w:val="00CC1ABF"/>
    <w:rsid w:val="00CE2515"/>
    <w:rsid w:val="00CF5652"/>
    <w:rsid w:val="00DF4EFB"/>
    <w:rsid w:val="00E13BF1"/>
    <w:rsid w:val="00E45DB1"/>
    <w:rsid w:val="00E63E68"/>
    <w:rsid w:val="00E66416"/>
    <w:rsid w:val="00F04E5E"/>
    <w:rsid w:val="00F34D2B"/>
    <w:rsid w:val="00F46D92"/>
    <w:rsid w:val="00F72640"/>
    <w:rsid w:val="00F84923"/>
    <w:rsid w:val="00F92B5B"/>
    <w:rsid w:val="00F945AC"/>
    <w:rsid w:val="00FD328A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43F02-4795-40DF-81B2-8FB58A7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2C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552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2552C"/>
    <w:rPr>
      <w:rFonts w:ascii="Arial" w:eastAsiaTheme="majorEastAsia" w:hAnsi="Arial" w:cstheme="majorBidi"/>
      <w:b/>
      <w:caps/>
      <w:sz w:val="20"/>
    </w:rPr>
  </w:style>
  <w:style w:type="paragraph" w:customStyle="1" w:styleId="Texte1">
    <w:name w:val="Texte1"/>
    <w:basedOn w:val="Normal"/>
    <w:link w:val="Texte1Car"/>
    <w:rsid w:val="00A2552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A2552C"/>
    <w:rPr>
      <w:rFonts w:ascii="Arial" w:eastAsia="SimSun" w:hAnsi="Arial" w:cs="Arial"/>
      <w:sz w:val="20"/>
      <w:szCs w:val="24"/>
      <w:lang w:eastAsia="zh-CN"/>
    </w:rPr>
  </w:style>
  <w:style w:type="paragraph" w:customStyle="1" w:styleId="Tabtxt">
    <w:name w:val="Tabtxt"/>
    <w:basedOn w:val="Normal"/>
    <w:rsid w:val="00A2552C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51675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3B23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23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B23BA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3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3BA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formtext">
    <w:name w:val="formtext"/>
    <w:basedOn w:val="Normal"/>
    <w:rsid w:val="00AE6B71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36272-7259-4D30-9F51-9EE5295F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dcterms:created xsi:type="dcterms:W3CDTF">2019-05-19T14:41:00Z</dcterms:created>
  <dcterms:modified xsi:type="dcterms:W3CDTF">2019-05-19T14:41:00Z</dcterms:modified>
</cp:coreProperties>
</file>