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EC" w:rsidRDefault="00E323EC" w:rsidP="00E323EC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bookmarkStart w:id="0" w:name="_GoBack"/>
      <w:bookmarkEnd w:id="0"/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 D’INVENTAIRE DU PCI</w:t>
      </w:r>
    </w:p>
    <w:p w:rsidR="00E323EC" w:rsidRDefault="00E323EC" w:rsidP="00E323EC">
      <w:pPr>
        <w:rPr>
          <w:lang w:val="fr-FR"/>
        </w:rPr>
      </w:pPr>
    </w:p>
    <w:p w:rsidR="00E323EC" w:rsidRDefault="00E323EC" w:rsidP="00E323EC">
      <w:pPr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>
        <w:rPr>
          <w:b/>
          <w:lang w:val="fr-FR"/>
        </w:rPr>
        <w:t>Kaffrine</w:t>
      </w:r>
    </w:p>
    <w:p w:rsidR="00E323EC" w:rsidRDefault="00E323EC" w:rsidP="00E323EC">
      <w:pPr>
        <w:rPr>
          <w:b/>
          <w:lang w:val="fr-FR"/>
        </w:rPr>
      </w:pPr>
    </w:p>
    <w:p w:rsidR="00E323EC" w:rsidRPr="00F355F4" w:rsidRDefault="00E323EC" w:rsidP="00E323EC">
      <w:pPr>
        <w:rPr>
          <w:b/>
          <w:lang w:val="fr-FR"/>
        </w:rPr>
      </w:pPr>
      <w:r>
        <w:rPr>
          <w:b/>
          <w:lang w:val="fr-FR"/>
        </w:rPr>
        <w:t>DEPARTEMENT </w:t>
      </w:r>
      <w:proofErr w:type="gramStart"/>
      <w:r>
        <w:rPr>
          <w:b/>
          <w:lang w:val="fr-FR"/>
        </w:rPr>
        <w:t>:</w:t>
      </w:r>
      <w:proofErr w:type="spellStart"/>
      <w:r w:rsidR="00946772">
        <w:rPr>
          <w:b/>
          <w:lang w:val="fr-FR"/>
        </w:rPr>
        <w:t>Birkelane</w:t>
      </w:r>
      <w:proofErr w:type="spellEnd"/>
      <w:proofErr w:type="gramEnd"/>
    </w:p>
    <w:p w:rsidR="00E323EC" w:rsidRDefault="00E323EC" w:rsidP="00E323EC">
      <w:pPr>
        <w:pStyle w:val="Titre4"/>
      </w:pPr>
      <w:r>
        <w:t>Numero de la fiche </w:t>
      </w:r>
      <w:proofErr w:type="gramStart"/>
      <w:r>
        <w:t>:04</w:t>
      </w:r>
      <w:proofErr w:type="gramEnd"/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E323EC" w:rsidRPr="0015157C" w:rsidTr="00576E05">
        <w:tc>
          <w:tcPr>
            <w:tcW w:w="567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E323EC" w:rsidRPr="007254B2" w:rsidRDefault="00E323EC" w:rsidP="00576E05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  <w:r>
              <w:rPr>
                <w:snapToGrid/>
                <w:sz w:val="18"/>
                <w:szCs w:val="18"/>
                <w:lang w:val="fr-FR" w:eastAsia="fr-FR"/>
              </w:rPr>
              <w:t> :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082B6B">
              <w:rPr>
                <w:snapToGrid/>
                <w:sz w:val="18"/>
                <w:szCs w:val="18"/>
                <w:lang w:val="fr-FR" w:eastAsia="fr-FR"/>
              </w:rPr>
              <w:t>Gouye</w:t>
            </w:r>
            <w:proofErr w:type="spellEnd"/>
            <w:r w:rsidR="00082B6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082B6B">
              <w:rPr>
                <w:snapToGrid/>
                <w:sz w:val="18"/>
                <w:szCs w:val="18"/>
                <w:lang w:val="fr-FR" w:eastAsia="fr-FR"/>
              </w:rPr>
              <w:t>Nde</w:t>
            </w:r>
            <w:r>
              <w:rPr>
                <w:snapToGrid/>
                <w:sz w:val="18"/>
                <w:szCs w:val="18"/>
                <w:lang w:val="fr-FR" w:eastAsia="fr-FR"/>
              </w:rPr>
              <w:t>mba</w:t>
            </w:r>
            <w:proofErr w:type="spellEnd"/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Titre de l’élément du PCI ‒ avec indication du (des) domaine(s) du PCI concerné(s) :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197923">
              <w:rPr>
                <w:snapToGrid/>
                <w:sz w:val="18"/>
                <w:szCs w:val="18"/>
                <w:lang w:val="fr-FR" w:eastAsia="fr-FR"/>
              </w:rPr>
              <w:t xml:space="preserve">connaissance, </w:t>
            </w:r>
            <w:r>
              <w:rPr>
                <w:snapToGrid/>
                <w:sz w:val="18"/>
                <w:szCs w:val="18"/>
                <w:lang w:val="fr-FR" w:eastAsia="fr-FR"/>
              </w:rPr>
              <w:t>Pratique sociale</w:t>
            </w:r>
            <w:r w:rsidR="00587213">
              <w:rPr>
                <w:snapToGrid/>
                <w:sz w:val="18"/>
                <w:szCs w:val="18"/>
                <w:lang w:val="fr-FR" w:eastAsia="fr-FR"/>
              </w:rPr>
              <w:t xml:space="preserve">, </w:t>
            </w:r>
          </w:p>
        </w:tc>
      </w:tr>
      <w:tr w:rsidR="00E323EC" w:rsidRPr="00E323E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E323EC" w:rsidRPr="00E323EC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Communauté(s) concernée(s):</w:t>
            </w:r>
            <w:r w:rsidRPr="00E323EC">
              <w:rPr>
                <w:snapToGrid/>
                <w:sz w:val="18"/>
                <w:szCs w:val="18"/>
                <w:lang w:val="fr-FR" w:eastAsia="fr-FR"/>
              </w:rPr>
              <w:t xml:space="preserve"> C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ommunauté sérère de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Birkelane</w:t>
            </w:r>
            <w:proofErr w:type="spellEnd"/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 : périphérie de la ville et du quartier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thiérère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et en fonction des besoins de la Communauté ou de sollicitations extérieures</w:t>
            </w:r>
          </w:p>
        </w:tc>
      </w:tr>
      <w:tr w:rsidR="00E323EC" w:rsidRPr="0015157C" w:rsidTr="00576E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082B6B" w:rsidRPr="00C92ED6" w:rsidRDefault="00E323EC" w:rsidP="00082B6B">
            <w:pPr>
              <w:spacing w:before="80" w:after="192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  <w:r w:rsidR="00D5672E">
              <w:rPr>
                <w:snapToGrid/>
                <w:sz w:val="18"/>
                <w:szCs w:val="18"/>
                <w:lang w:val="fr-FR" w:eastAsia="fr-FR"/>
              </w:rPr>
              <w:t>L</w:t>
            </w:r>
            <w:r w:rsidR="00D91096">
              <w:rPr>
                <w:snapToGrid/>
                <w:sz w:val="18"/>
                <w:szCs w:val="18"/>
                <w:lang w:val="fr-FR" w:eastAsia="fr-FR"/>
              </w:rPr>
              <w:t xml:space="preserve">’histoire des origines de </w:t>
            </w:r>
            <w:proofErr w:type="spellStart"/>
            <w:r w:rsidR="00D91096">
              <w:rPr>
                <w:snapToGrid/>
                <w:sz w:val="18"/>
                <w:szCs w:val="18"/>
                <w:lang w:val="fr-FR" w:eastAsia="fr-FR"/>
              </w:rPr>
              <w:t>Birkelane</w:t>
            </w:r>
            <w:proofErr w:type="spellEnd"/>
            <w:r w:rsidR="00D91096">
              <w:rPr>
                <w:snapToGrid/>
                <w:sz w:val="18"/>
                <w:szCs w:val="18"/>
                <w:lang w:val="fr-FR" w:eastAsia="fr-FR"/>
              </w:rPr>
              <w:t xml:space="preserve"> et de </w:t>
            </w:r>
            <w:proofErr w:type="spellStart"/>
            <w:r w:rsidR="00D91096">
              <w:rPr>
                <w:snapToGrid/>
                <w:sz w:val="18"/>
                <w:szCs w:val="18"/>
                <w:lang w:val="fr-FR" w:eastAsia="fr-FR"/>
              </w:rPr>
              <w:t>Mbégane</w:t>
            </w:r>
            <w:proofErr w:type="spellEnd"/>
            <w:r w:rsidR="00D91096">
              <w:rPr>
                <w:snapToGrid/>
                <w:sz w:val="18"/>
                <w:szCs w:val="18"/>
                <w:lang w:val="fr-FR" w:eastAsia="fr-FR"/>
              </w:rPr>
              <w:t xml:space="preserve"> NDOUR est étroitement liée au Baobab </w:t>
            </w:r>
            <w:proofErr w:type="spellStart"/>
            <w:r w:rsidR="00D91096">
              <w:rPr>
                <w:snapToGrid/>
                <w:sz w:val="18"/>
                <w:szCs w:val="18"/>
                <w:lang w:val="fr-FR" w:eastAsia="fr-FR"/>
              </w:rPr>
              <w:t>Ndemba</w:t>
            </w:r>
            <w:proofErr w:type="spellEnd"/>
            <w:r w:rsidR="00D91096">
              <w:rPr>
                <w:snapToGrid/>
                <w:sz w:val="18"/>
                <w:szCs w:val="18"/>
                <w:lang w:val="fr-FR" w:eastAsia="fr-FR"/>
              </w:rPr>
              <w:t xml:space="preserve"> selon la tradition.</w:t>
            </w:r>
            <w:r>
              <w:rPr>
                <w:snapToGrid/>
                <w:sz w:val="18"/>
                <w:szCs w:val="18"/>
                <w:lang w:val="fr-FR" w:eastAsia="fr-FR"/>
              </w:rPr>
              <w:t>il s’agit de sacrifices et de libations qu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 xml:space="preserve">’abrite le Baobab </w:t>
            </w:r>
            <w:proofErr w:type="spellStart"/>
            <w:r w:rsidR="008F1D24">
              <w:rPr>
                <w:snapToGrid/>
                <w:sz w:val="18"/>
                <w:szCs w:val="18"/>
                <w:lang w:val="fr-FR" w:eastAsia="fr-FR"/>
              </w:rPr>
              <w:t>Nde</w:t>
            </w:r>
            <w:r>
              <w:rPr>
                <w:snapToGrid/>
                <w:sz w:val="18"/>
                <w:szCs w:val="18"/>
                <w:lang w:val="fr-FR" w:eastAsia="fr-FR"/>
              </w:rPr>
              <w:t>mba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en vue de solliciter la satisfaction d’une demande communautaire ou individuelle. Concrètement, on verse du lait caillé et on fait des libations avant qu’un membre de la famille NDAO </w:t>
            </w:r>
            <w:proofErr w:type="gramStart"/>
            <w:r>
              <w:rPr>
                <w:snapToGrid/>
                <w:sz w:val="18"/>
                <w:szCs w:val="18"/>
                <w:lang w:val="fr-FR" w:eastAsia="fr-FR"/>
              </w:rPr>
              <w:t xml:space="preserve">(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Saliou</w:t>
            </w:r>
            <w:proofErr w:type="spellEnd"/>
            <w:proofErr w:type="gramEnd"/>
            <w:r>
              <w:rPr>
                <w:snapToGrid/>
                <w:sz w:val="18"/>
                <w:szCs w:val="18"/>
                <w:lang w:val="fr-FR" w:eastAsia="fr-FR"/>
              </w:rPr>
              <w:t xml:space="preserve"> NDAO) ne monte sur le baobab sur autorisation de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Gory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NDIAYE (initialement les DIAW) gardien du culte. Cette pratique se transmet de génération en génération par famille et lignage</w:t>
            </w:r>
            <w:r w:rsidR="00632D31">
              <w:rPr>
                <w:snapToGrid/>
                <w:sz w:val="18"/>
                <w:szCs w:val="18"/>
                <w:lang w:val="fr-FR" w:eastAsia="fr-FR"/>
              </w:rPr>
              <w:t>. Celui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 xml:space="preserve"> qui est monté sur le Baobab </w:t>
            </w:r>
            <w:proofErr w:type="spellStart"/>
            <w:r w:rsidR="00082B6B">
              <w:rPr>
                <w:snapToGrid/>
                <w:sz w:val="18"/>
                <w:szCs w:val="18"/>
                <w:lang w:val="fr-FR" w:eastAsia="fr-FR"/>
              </w:rPr>
              <w:t>Nde</w:t>
            </w:r>
            <w:r w:rsidR="00632D31">
              <w:rPr>
                <w:snapToGrid/>
                <w:sz w:val="18"/>
                <w:szCs w:val="18"/>
                <w:lang w:val="fr-FR" w:eastAsia="fr-FR"/>
              </w:rPr>
              <w:t>mba</w:t>
            </w:r>
            <w:proofErr w:type="spellEnd"/>
            <w:r w:rsidR="00632D31">
              <w:rPr>
                <w:snapToGrid/>
                <w:sz w:val="18"/>
                <w:szCs w:val="18"/>
                <w:lang w:val="fr-FR" w:eastAsia="fr-FR"/>
              </w:rPr>
              <w:t xml:space="preserve"> plonge un récipient attaché à une corde au creux du baobab pour recueillir de l’eau bénite protégée par un varan, génie protecteur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>. En cas de refus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>,</w:t>
            </w:r>
            <w:r w:rsidR="00052726">
              <w:rPr>
                <w:snapToGrid/>
                <w:sz w:val="18"/>
                <w:szCs w:val="18"/>
                <w:lang w:val="fr-FR" w:eastAsia="fr-FR"/>
              </w:rPr>
              <w:t xml:space="preserve"> c’est-à-dire si les vœux ne seront pas exaucés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 xml:space="preserve"> le Varan se couche sur le trou empêchant l’accès à la source d’eau. En cas d’accord,</w:t>
            </w:r>
            <w:r w:rsidR="00052726">
              <w:rPr>
                <w:snapToGrid/>
                <w:sz w:val="18"/>
                <w:szCs w:val="18"/>
                <w:lang w:val="fr-FR" w:eastAsia="fr-FR"/>
              </w:rPr>
              <w:t xml:space="preserve"> si </w:t>
            </w:r>
            <w:proofErr w:type="gramStart"/>
            <w:r w:rsidR="00052726">
              <w:rPr>
                <w:snapToGrid/>
                <w:sz w:val="18"/>
                <w:szCs w:val="18"/>
                <w:lang w:val="fr-FR" w:eastAsia="fr-FR"/>
              </w:rPr>
              <w:t>le vœux</w:t>
            </w:r>
            <w:proofErr w:type="gramEnd"/>
            <w:r w:rsidR="00052726">
              <w:rPr>
                <w:snapToGrid/>
                <w:sz w:val="18"/>
                <w:szCs w:val="18"/>
                <w:lang w:val="fr-FR" w:eastAsia="fr-FR"/>
              </w:rPr>
              <w:t xml:space="preserve"> sera exaucé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 xml:space="preserve"> l’eau est collectée pour 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>être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 xml:space="preserve"> servi aux </w:t>
            </w:r>
            <w:proofErr w:type="spellStart"/>
            <w:r w:rsidR="00082B6B">
              <w:rPr>
                <w:snapToGrid/>
                <w:sz w:val="18"/>
                <w:szCs w:val="18"/>
                <w:lang w:val="fr-FR" w:eastAsia="fr-FR"/>
              </w:rPr>
              <w:t>sollicitants</w:t>
            </w:r>
            <w:proofErr w:type="spellEnd"/>
            <w:r w:rsidR="00082B6B">
              <w:rPr>
                <w:snapToGrid/>
                <w:sz w:val="18"/>
                <w:szCs w:val="18"/>
                <w:lang w:val="fr-FR" w:eastAsia="fr-FR"/>
              </w:rPr>
              <w:t xml:space="preserve"> qui en boivent et se lavent ave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>c tout en faisant leurs prières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>.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 xml:space="preserve"> En cas de difficulté, le varan renverse le récipient rempli d’eau. Seuls les membres de la famille ont accès à </w:t>
            </w:r>
            <w:proofErr w:type="spellStart"/>
            <w:r w:rsidR="008F1D24">
              <w:rPr>
                <w:snapToGrid/>
                <w:sz w:val="18"/>
                <w:szCs w:val="18"/>
                <w:lang w:val="fr-FR" w:eastAsia="fr-FR"/>
              </w:rPr>
              <w:t>Ndemba</w:t>
            </w:r>
            <w:proofErr w:type="spellEnd"/>
            <w:r w:rsidR="008F1D24">
              <w:rPr>
                <w:snapToGrid/>
                <w:sz w:val="18"/>
                <w:szCs w:val="18"/>
                <w:lang w:val="fr-FR" w:eastAsia="fr-FR"/>
              </w:rPr>
              <w:t>.</w:t>
            </w:r>
            <w:r w:rsidR="00D5672E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 xml:space="preserve">Les autres gardent une certaine distance. 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>Il est interdit d’accès au baobab au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>x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 xml:space="preserve"> griot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="00082B6B">
              <w:rPr>
                <w:snapToGrid/>
                <w:sz w:val="18"/>
                <w:szCs w:val="18"/>
                <w:lang w:val="fr-FR" w:eastAsia="fr-FR"/>
              </w:rPr>
              <w:t xml:space="preserve"> et à toute personne 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>ayant eu des rapports sexuels avec eux.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8283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> </w:t>
            </w:r>
            <w:proofErr w:type="gramStart"/>
            <w:r w:rsidR="008F1D24">
              <w:rPr>
                <w:snapToGrid/>
                <w:sz w:val="18"/>
                <w:szCs w:val="18"/>
                <w:lang w:val="fr-FR" w:eastAsia="fr-FR"/>
              </w:rPr>
              <w:t>:Le</w:t>
            </w:r>
            <w:proofErr w:type="gramEnd"/>
            <w:r w:rsidR="008F1D24">
              <w:rPr>
                <w:snapToGrid/>
                <w:sz w:val="18"/>
                <w:szCs w:val="18"/>
                <w:lang w:val="fr-FR" w:eastAsia="fr-FR"/>
              </w:rPr>
              <w:t xml:space="preserve"> donneur d’ordre </w:t>
            </w:r>
            <w:proofErr w:type="spellStart"/>
            <w:r w:rsidR="008F1D24">
              <w:rPr>
                <w:snapToGrid/>
                <w:sz w:val="18"/>
                <w:szCs w:val="18"/>
                <w:lang w:val="fr-FR" w:eastAsia="fr-FR"/>
              </w:rPr>
              <w:t>Gory</w:t>
            </w:r>
            <w:proofErr w:type="spellEnd"/>
            <w:r w:rsidR="008F1D24">
              <w:rPr>
                <w:snapToGrid/>
                <w:sz w:val="18"/>
                <w:szCs w:val="18"/>
                <w:lang w:val="fr-FR" w:eastAsia="fr-FR"/>
              </w:rPr>
              <w:t xml:space="preserve"> NDIAYE, celui qui monte </w:t>
            </w:r>
            <w:proofErr w:type="spellStart"/>
            <w:r w:rsidR="008F1D24">
              <w:rPr>
                <w:snapToGrid/>
                <w:sz w:val="18"/>
                <w:szCs w:val="18"/>
                <w:lang w:val="fr-FR" w:eastAsia="fr-FR"/>
              </w:rPr>
              <w:t>Saliou</w:t>
            </w:r>
            <w:proofErr w:type="spellEnd"/>
            <w:r w:rsidR="008F1D24">
              <w:rPr>
                <w:snapToGrid/>
                <w:sz w:val="18"/>
                <w:szCs w:val="18"/>
                <w:lang w:val="fr-FR" w:eastAsia="fr-FR"/>
              </w:rPr>
              <w:t xml:space="preserve"> NDAO, la Communauté sérère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2.2.</w:t>
            </w:r>
          </w:p>
        </w:tc>
        <w:tc>
          <w:tcPr>
            <w:tcW w:w="8283" w:type="dxa"/>
            <w:shd w:val="clear" w:color="auto" w:fill="auto"/>
          </w:tcPr>
          <w:p w:rsidR="00D5672E" w:rsidRDefault="00E323EC" w:rsidP="00576E05">
            <w:pPr>
              <w:spacing w:before="80" w:after="96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)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</w:p>
          <w:p w:rsidR="00E323EC" w:rsidRPr="00C92ED6" w:rsidRDefault="008F1D24" w:rsidP="00576E05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la communauté sérère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D5672E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:rsidR="00E323EC" w:rsidRPr="00C92ED6" w:rsidRDefault="008F1D24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D5672E">
              <w:rPr>
                <w:snapToGrid/>
                <w:sz w:val="18"/>
                <w:szCs w:val="18"/>
                <w:lang w:val="fr-FR" w:eastAsia="fr-FR"/>
              </w:rPr>
              <w:t>le sérère</w:t>
            </w:r>
            <w:r w:rsidR="00E03495">
              <w:rPr>
                <w:b/>
                <w:snapToGrid/>
                <w:sz w:val="18"/>
                <w:szCs w:val="18"/>
                <w:lang w:val="fr-FR" w:eastAsia="fr-FR"/>
              </w:rPr>
              <w:t> </w:t>
            </w:r>
            <w:r w:rsidR="00E03495">
              <w:rPr>
                <w:snapToGrid/>
                <w:sz w:val="18"/>
                <w:szCs w:val="18"/>
                <w:lang w:val="fr-FR" w:eastAsia="fr-FR"/>
              </w:rPr>
              <w:t>: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prières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D5672E">
              <w:rPr>
                <w:b/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> : récipient, corde, lait caillé de vache ou de mouton,</w:t>
            </w:r>
            <w:r w:rsidR="00D5672E">
              <w:rPr>
                <w:snapToGrid/>
                <w:sz w:val="18"/>
                <w:szCs w:val="18"/>
                <w:lang w:val="fr-FR" w:eastAsia="fr-FR"/>
              </w:rPr>
              <w:t xml:space="preserve"> du mil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 xml:space="preserve"> « </w:t>
            </w:r>
            <w:proofErr w:type="spellStart"/>
            <w:r w:rsidR="008F1D24">
              <w:rPr>
                <w:snapToGrid/>
                <w:sz w:val="18"/>
                <w:szCs w:val="18"/>
                <w:lang w:val="fr-FR" w:eastAsia="fr-FR"/>
              </w:rPr>
              <w:t>nakk</w:t>
            </w:r>
            <w:proofErr w:type="spellEnd"/>
            <w:r w:rsidR="008F1D24">
              <w:rPr>
                <w:snapToGrid/>
                <w:sz w:val="18"/>
                <w:szCs w:val="18"/>
                <w:lang w:val="fr-FR" w:eastAsia="fr-FR"/>
              </w:rPr>
              <w:t xml:space="preserve"> », Baobab, 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:rsidR="00D5672E" w:rsidRDefault="00E323EC" w:rsidP="00576E05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  <w:r w:rsidR="008F1D24">
              <w:rPr>
                <w:snapToGrid/>
                <w:sz w:val="18"/>
                <w:szCs w:val="18"/>
                <w:lang w:val="fr-FR" w:eastAsia="fr-FR"/>
              </w:rPr>
              <w:t> :</w:t>
            </w:r>
            <w:r w:rsidR="00D5672E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  <w:p w:rsidR="00E323EC" w:rsidRPr="00C92ED6" w:rsidRDefault="008F1D24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libations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D5672E" w:rsidRDefault="00E323EC" w:rsidP="00576E05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  <w:r w:rsidR="004F17D6">
              <w:rPr>
                <w:snapToGrid/>
                <w:sz w:val="18"/>
                <w:szCs w:val="18"/>
                <w:lang w:val="fr-FR" w:eastAsia="fr-FR"/>
              </w:rPr>
              <w:t xml:space="preserve"> : </w:t>
            </w:r>
          </w:p>
          <w:p w:rsidR="00E323EC" w:rsidRPr="00C92ED6" w:rsidRDefault="004F17D6" w:rsidP="00576E05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concertation,</w:t>
            </w:r>
            <w:r w:rsidR="00D5672E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snapToGrid/>
                <w:sz w:val="18"/>
                <w:szCs w:val="18"/>
                <w:lang w:val="fr-FR" w:eastAsia="fr-FR"/>
              </w:rPr>
              <w:t>sacrifices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  <w:r w:rsidR="004F17D6">
              <w:rPr>
                <w:snapToGrid/>
                <w:sz w:val="18"/>
                <w:szCs w:val="18"/>
                <w:lang w:val="fr-FR" w:eastAsia="fr-FR"/>
              </w:rPr>
              <w:t> :</w:t>
            </w:r>
            <w:r w:rsidR="00D5672E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4F17D6">
              <w:rPr>
                <w:snapToGrid/>
                <w:sz w:val="18"/>
                <w:szCs w:val="18"/>
                <w:lang w:val="fr-FR" w:eastAsia="fr-FR"/>
              </w:rPr>
              <w:t>transmission orale de génération en génération</w:t>
            </w:r>
            <w:r w:rsidR="00D5672E">
              <w:rPr>
                <w:snapToGrid/>
                <w:sz w:val="18"/>
                <w:szCs w:val="18"/>
                <w:lang w:val="fr-FR" w:eastAsia="fr-FR"/>
              </w:rPr>
              <w:t>, pratique</w:t>
            </w:r>
          </w:p>
        </w:tc>
      </w:tr>
      <w:tr w:rsidR="00E323EC" w:rsidRPr="0015157C" w:rsidTr="00576E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)</w:t>
            </w:r>
            <w:r w:rsidR="004F17D6">
              <w:rPr>
                <w:snapToGrid/>
                <w:sz w:val="18"/>
                <w:szCs w:val="18"/>
                <w:lang w:val="fr-FR" w:eastAsia="fr-FR"/>
              </w:rPr>
              <w:t> : Néant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3.1.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)</w:t>
            </w:r>
            <w:r w:rsidR="004F17D6">
              <w:rPr>
                <w:snapToGrid/>
                <w:sz w:val="18"/>
                <w:szCs w:val="18"/>
                <w:lang w:val="fr-FR" w:eastAsia="fr-FR"/>
              </w:rPr>
              <w:t xml:space="preserve"> : lotissement du site par la Mairie et </w:t>
            </w:r>
            <w:proofErr w:type="gramStart"/>
            <w:r w:rsidR="004F17D6">
              <w:rPr>
                <w:snapToGrid/>
                <w:sz w:val="18"/>
                <w:szCs w:val="18"/>
                <w:lang w:val="fr-FR" w:eastAsia="fr-FR"/>
              </w:rPr>
              <w:t>la</w:t>
            </w:r>
            <w:proofErr w:type="gramEnd"/>
            <w:r w:rsidR="004F17D6">
              <w:rPr>
                <w:snapToGrid/>
                <w:sz w:val="18"/>
                <w:szCs w:val="18"/>
                <w:lang w:val="fr-FR" w:eastAsia="fr-FR"/>
              </w:rPr>
              <w:t xml:space="preserve"> non organisation de la communauté sérère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  <w:r w:rsidR="004F17D6" w:rsidRPr="00E03495">
              <w:rPr>
                <w:b/>
                <w:snapToGrid/>
                <w:sz w:val="18"/>
                <w:szCs w:val="18"/>
                <w:lang w:val="fr-FR" w:eastAsia="fr-FR"/>
              </w:rPr>
              <w:t> </w:t>
            </w:r>
            <w:r w:rsidR="005A352A" w:rsidRPr="00E03495">
              <w:rPr>
                <w:b/>
                <w:snapToGrid/>
                <w:sz w:val="18"/>
                <w:szCs w:val="18"/>
                <w:lang w:val="fr-FR" w:eastAsia="fr-FR"/>
              </w:rPr>
              <w:t>:</w:t>
            </w:r>
            <w:r w:rsidR="005A352A">
              <w:rPr>
                <w:snapToGrid/>
                <w:sz w:val="18"/>
                <w:szCs w:val="18"/>
                <w:lang w:val="fr-FR" w:eastAsia="fr-FR"/>
              </w:rPr>
              <w:t xml:space="preserve"> absence</w:t>
            </w:r>
            <w:r w:rsidR="004F17D6">
              <w:rPr>
                <w:snapToGrid/>
                <w:sz w:val="18"/>
                <w:szCs w:val="18"/>
                <w:lang w:val="fr-FR" w:eastAsia="fr-FR"/>
              </w:rPr>
              <w:t xml:space="preserve"> d’unité de la communauté, non sensibilisation de la jeune génération, aucun document sonore, écrit, audiovisuel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</w:t>
            </w:r>
            <w:r w:rsidR="005A352A" w:rsidRPr="00E03495">
              <w:rPr>
                <w:b/>
                <w:snapToGrid/>
                <w:sz w:val="18"/>
                <w:szCs w:val="18"/>
                <w:lang w:val="fr-FR" w:eastAsia="fr-FR"/>
              </w:rPr>
              <w:t> </w:t>
            </w: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associés à l’élément du PCI</w:t>
            </w:r>
            <w:r w:rsidR="005A352A">
              <w:rPr>
                <w:snapToGrid/>
                <w:sz w:val="18"/>
                <w:szCs w:val="18"/>
                <w:lang w:val="fr-FR" w:eastAsia="fr-FR"/>
              </w:rPr>
              <w:t> : Pas de menace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  <w:r w:rsidR="005A352A" w:rsidRPr="00E03495">
              <w:rPr>
                <w:b/>
                <w:snapToGrid/>
                <w:sz w:val="18"/>
                <w:szCs w:val="18"/>
                <w:lang w:val="fr-FR" w:eastAsia="fr-FR"/>
              </w:rPr>
              <w:t> </w:t>
            </w:r>
            <w:r w:rsidR="005A352A">
              <w:rPr>
                <w:snapToGrid/>
                <w:sz w:val="18"/>
                <w:szCs w:val="18"/>
                <w:lang w:val="fr-FR" w:eastAsia="fr-FR"/>
              </w:rPr>
              <w:t>:</w:t>
            </w:r>
            <w:r w:rsidR="00D5672E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5A352A">
              <w:rPr>
                <w:snapToGrid/>
                <w:sz w:val="18"/>
                <w:szCs w:val="18"/>
                <w:lang w:val="fr-FR" w:eastAsia="fr-FR"/>
              </w:rPr>
              <w:t>risque de perte de la pratique par la jeune génération à défaut de sensibilisation et d’organisation</w:t>
            </w:r>
          </w:p>
        </w:tc>
      </w:tr>
      <w:tr w:rsidR="00E323EC" w:rsidRPr="0015157C" w:rsidTr="00576E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  <w:r w:rsidR="005A352A">
              <w:rPr>
                <w:snapToGrid/>
                <w:sz w:val="18"/>
                <w:szCs w:val="18"/>
                <w:lang w:val="fr-FR" w:eastAsia="fr-FR"/>
              </w:rPr>
              <w:t> : clôturer le site, affectation du site à la communauté, organisation de la communauté et sensibilisation de la jeune génération et des autorités pour la préservation de ce patrimoine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  <w:r w:rsidR="00D91096" w:rsidRPr="00E03495">
              <w:rPr>
                <w:b/>
                <w:snapToGrid/>
                <w:sz w:val="18"/>
                <w:szCs w:val="18"/>
                <w:lang w:val="fr-FR" w:eastAsia="fr-FR"/>
              </w:rPr>
              <w:t> </w:t>
            </w:r>
            <w:r w:rsidR="00D91096">
              <w:rPr>
                <w:snapToGrid/>
                <w:sz w:val="18"/>
                <w:szCs w:val="18"/>
                <w:lang w:val="fr-FR" w:eastAsia="fr-FR"/>
              </w:rPr>
              <w:t>: Oui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  <w:r w:rsidR="00D91096">
              <w:rPr>
                <w:snapToGrid/>
                <w:sz w:val="18"/>
                <w:szCs w:val="18"/>
                <w:lang w:val="fr-FR" w:eastAsia="fr-FR"/>
              </w:rPr>
              <w:t xml:space="preserve"> ; 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>non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Personne(s) ressource(s) : nom et statut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 : Bamba MBODJ, Amy SENE, </w:t>
            </w:r>
            <w:proofErr w:type="spellStart"/>
            <w:r w:rsidR="00216443">
              <w:rPr>
                <w:snapToGrid/>
                <w:sz w:val="18"/>
                <w:szCs w:val="18"/>
                <w:lang w:val="fr-FR" w:eastAsia="fr-FR"/>
              </w:rPr>
              <w:t>Diaffé</w:t>
            </w:r>
            <w:proofErr w:type="spellEnd"/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 DIOUF, Khady </w:t>
            </w:r>
            <w:proofErr w:type="spellStart"/>
            <w:r w:rsidR="00216443">
              <w:rPr>
                <w:snapToGrid/>
                <w:sz w:val="18"/>
                <w:szCs w:val="18"/>
                <w:lang w:val="fr-FR" w:eastAsia="fr-FR"/>
              </w:rPr>
              <w:t>Bakhoum</w:t>
            </w:r>
            <w:proofErr w:type="spellEnd"/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216443">
              <w:rPr>
                <w:snapToGrid/>
                <w:sz w:val="18"/>
                <w:szCs w:val="18"/>
                <w:lang w:val="fr-FR" w:eastAsia="fr-FR"/>
              </w:rPr>
              <w:t>Malick</w:t>
            </w:r>
            <w:proofErr w:type="spellEnd"/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 NDAIYE, Omar NDAO, Aziz </w:t>
            </w:r>
            <w:proofErr w:type="spellStart"/>
            <w:r w:rsidR="00216443">
              <w:rPr>
                <w:snapToGrid/>
                <w:sz w:val="18"/>
                <w:szCs w:val="18"/>
                <w:lang w:val="fr-FR" w:eastAsia="fr-FR"/>
              </w:rPr>
              <w:t>Mbodj</w:t>
            </w:r>
            <w:proofErr w:type="spellEnd"/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216443">
              <w:rPr>
                <w:snapToGrid/>
                <w:sz w:val="18"/>
                <w:szCs w:val="18"/>
                <w:lang w:val="fr-FR" w:eastAsia="fr-FR"/>
              </w:rPr>
              <w:t>Saliou</w:t>
            </w:r>
            <w:proofErr w:type="spellEnd"/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 NDAO tous petits fils de </w:t>
            </w:r>
            <w:proofErr w:type="spellStart"/>
            <w:r w:rsidR="00216443">
              <w:rPr>
                <w:snapToGrid/>
                <w:sz w:val="18"/>
                <w:szCs w:val="18"/>
                <w:lang w:val="fr-FR" w:eastAsia="fr-FR"/>
              </w:rPr>
              <w:t>Ndemba</w:t>
            </w:r>
            <w:proofErr w:type="spellEnd"/>
          </w:p>
        </w:tc>
      </w:tr>
      <w:tr w:rsidR="00E323EC" w:rsidRPr="0015157C" w:rsidTr="00576E0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> : Vendredi 21/04/2019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Monographies / Manuscrits conservés dans des bibliothèques, librairies ou détenus par des particuliers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> : Non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5.2.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Enregistrements audiovisuels conservés dans des archives, musées et collections privées (le cas échéant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)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> : Non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960" w:line="200" w:lineRule="exact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Objets conservés dans des archives, musées et collections privées (le cas échéant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)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> : Non</w:t>
            </w:r>
          </w:p>
        </w:tc>
      </w:tr>
      <w:tr w:rsidR="00E323EC" w:rsidRPr="00C92ED6" w:rsidTr="00576E05">
        <w:tc>
          <w:tcPr>
            <w:tcW w:w="567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E323EC" w:rsidRPr="00C92ED6" w:rsidRDefault="00E323EC" w:rsidP="00576E05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E323EC" w:rsidRPr="00380696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Nom et contacts de la personne(s) ayant compilé les données de l’inventa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ire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 : Yacine NGOM Directrice du centre culturel régional de Kaffrine, Mamadou GAYE Historien, </w:t>
            </w:r>
            <w:proofErr w:type="spellStart"/>
            <w:r w:rsidR="00216443">
              <w:rPr>
                <w:snapToGrid/>
                <w:sz w:val="18"/>
                <w:szCs w:val="18"/>
                <w:lang w:val="fr-FR" w:eastAsia="fr-FR"/>
              </w:rPr>
              <w:t>Absatou</w:t>
            </w:r>
            <w:proofErr w:type="spellEnd"/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 DIA</w:t>
            </w:r>
            <w:r w:rsidR="00D5672E">
              <w:rPr>
                <w:snapToGrid/>
                <w:sz w:val="18"/>
                <w:szCs w:val="18"/>
                <w:lang w:val="fr-FR" w:eastAsia="fr-FR"/>
              </w:rPr>
              <w:t xml:space="preserve"> Etudiante, Fodé SARR Enseignant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  <w:r w:rsidR="00216443">
              <w:rPr>
                <w:snapToGrid/>
                <w:sz w:val="18"/>
                <w:szCs w:val="18"/>
                <w:highlight w:val="yellow"/>
                <w:lang w:val="fr-FR" w:eastAsia="fr-FR"/>
              </w:rPr>
              <w:t> 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: oui par </w:t>
            </w:r>
            <w:r w:rsidR="00216443" w:rsidRPr="00380696">
              <w:rPr>
                <w:snapToGrid/>
                <w:sz w:val="18"/>
                <w:szCs w:val="18"/>
                <w:lang w:val="fr-FR" w:eastAsia="fr-FR"/>
              </w:rPr>
              <w:t>consentement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 xml:space="preserve"> écrit et vidéo</w:t>
            </w:r>
          </w:p>
        </w:tc>
      </w:tr>
      <w:tr w:rsidR="00E323EC" w:rsidRPr="0015157C" w:rsidTr="00576E05">
        <w:tc>
          <w:tcPr>
            <w:tcW w:w="567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E323EC" w:rsidRPr="00C92ED6" w:rsidRDefault="00E323EC" w:rsidP="00576E05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E03495">
              <w:rPr>
                <w:b/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  <w:r w:rsidR="00216443">
              <w:rPr>
                <w:snapToGrid/>
                <w:sz w:val="18"/>
                <w:szCs w:val="18"/>
                <w:lang w:val="fr-FR" w:eastAsia="fr-FR"/>
              </w:rPr>
              <w:t> : le 23/04/2019</w:t>
            </w:r>
          </w:p>
        </w:tc>
      </w:tr>
    </w:tbl>
    <w:p w:rsidR="00E323EC" w:rsidRPr="00A31579" w:rsidRDefault="00E323EC" w:rsidP="00E323EC">
      <w:pPr>
        <w:pStyle w:val="Texte1"/>
      </w:pPr>
    </w:p>
    <w:p w:rsidR="003C7994" w:rsidRPr="00E323EC" w:rsidRDefault="003C7994">
      <w:pPr>
        <w:rPr>
          <w:lang w:val="fr-FR"/>
        </w:rPr>
      </w:pPr>
    </w:p>
    <w:sectPr w:rsidR="003C7994" w:rsidRPr="00E323EC" w:rsidSect="00863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22F" w:rsidRDefault="008C222F" w:rsidP="00BE5785">
      <w:pPr>
        <w:spacing w:before="0" w:after="0"/>
      </w:pPr>
      <w:r>
        <w:separator/>
      </w:r>
    </w:p>
  </w:endnote>
  <w:endnote w:type="continuationSeparator" w:id="0">
    <w:p w:rsidR="008C222F" w:rsidRDefault="008C222F" w:rsidP="00BE57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8C222F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09097C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8C222F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22F" w:rsidRDefault="008C222F" w:rsidP="00BE5785">
      <w:pPr>
        <w:spacing w:before="0" w:after="0"/>
      </w:pPr>
      <w:r>
        <w:separator/>
      </w:r>
    </w:p>
  </w:footnote>
  <w:footnote w:type="continuationSeparator" w:id="0">
    <w:p w:rsidR="008C222F" w:rsidRDefault="008C222F" w:rsidP="00BE57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09097C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A3686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A3686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="00A3686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09097C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A3686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A3686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6B17BA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="00A36864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09097C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C"/>
    <w:rsid w:val="00052726"/>
    <w:rsid w:val="00082B6B"/>
    <w:rsid w:val="0009097C"/>
    <w:rsid w:val="00197923"/>
    <w:rsid w:val="00216443"/>
    <w:rsid w:val="00380696"/>
    <w:rsid w:val="003C7994"/>
    <w:rsid w:val="004F17D6"/>
    <w:rsid w:val="00587213"/>
    <w:rsid w:val="005A352A"/>
    <w:rsid w:val="00632D31"/>
    <w:rsid w:val="006B17BA"/>
    <w:rsid w:val="008C222F"/>
    <w:rsid w:val="008F1D24"/>
    <w:rsid w:val="00946772"/>
    <w:rsid w:val="00A36864"/>
    <w:rsid w:val="00BE5785"/>
    <w:rsid w:val="00C569FA"/>
    <w:rsid w:val="00C92B8B"/>
    <w:rsid w:val="00D5672E"/>
    <w:rsid w:val="00D91096"/>
    <w:rsid w:val="00E03495"/>
    <w:rsid w:val="00E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BD12D-DD3F-4F20-ACA4-8294FC06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3EC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323E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323EC"/>
    <w:rPr>
      <w:rFonts w:ascii="Arial" w:eastAsiaTheme="majorEastAsia" w:hAnsi="Arial" w:cstheme="majorBidi"/>
      <w:b/>
      <w:caps/>
      <w:sz w:val="20"/>
    </w:rPr>
  </w:style>
  <w:style w:type="paragraph" w:customStyle="1" w:styleId="Texte1">
    <w:name w:val="Texte1"/>
    <w:basedOn w:val="Normal"/>
    <w:link w:val="Texte1Car"/>
    <w:rsid w:val="00E323E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323EC"/>
    <w:rPr>
      <w:rFonts w:ascii="Arial" w:eastAsia="SimSun" w:hAnsi="Arial" w:cs="Arial"/>
      <w:sz w:val="20"/>
      <w:szCs w:val="24"/>
      <w:lang w:eastAsia="zh-CN"/>
    </w:rPr>
  </w:style>
  <w:style w:type="paragraph" w:customStyle="1" w:styleId="Tabtxt">
    <w:name w:val="Tabtxt"/>
    <w:basedOn w:val="Normal"/>
    <w:rsid w:val="00E323EC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440 G3</dc:creator>
  <cp:lastModifiedBy>user</cp:lastModifiedBy>
  <cp:revision>2</cp:revision>
  <dcterms:created xsi:type="dcterms:W3CDTF">2019-05-14T15:48:00Z</dcterms:created>
  <dcterms:modified xsi:type="dcterms:W3CDTF">2019-05-14T15:48:00Z</dcterms:modified>
</cp:coreProperties>
</file>