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6" w:rsidRDefault="00F355F4" w:rsidP="00D11FA6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bookmarkStart w:id="0" w:name="_GoBack"/>
      <w:bookmarkEnd w:id="0"/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 D’INVENTAIRE DU PCI</w:t>
      </w:r>
    </w:p>
    <w:p w:rsidR="00F355F4" w:rsidRPr="00ED7DDD" w:rsidRDefault="00F355F4" w:rsidP="00F355F4">
      <w:pPr>
        <w:rPr>
          <w:color w:val="FF0000"/>
          <w:lang w:val="fr-FR"/>
        </w:rPr>
      </w:pPr>
    </w:p>
    <w:p w:rsidR="00F355F4" w:rsidRPr="00ED7DDD" w:rsidRDefault="00F355F4" w:rsidP="00F355F4">
      <w:pPr>
        <w:rPr>
          <w:b/>
          <w:color w:val="FF0000"/>
          <w:lang w:val="fr-FR"/>
        </w:rPr>
      </w:pPr>
      <w:r w:rsidRPr="00ED7DDD">
        <w:rPr>
          <w:b/>
          <w:color w:val="FF0000"/>
          <w:lang w:val="fr-FR"/>
        </w:rPr>
        <w:t xml:space="preserve">REGION : </w:t>
      </w:r>
      <w:r w:rsidR="009A677B">
        <w:rPr>
          <w:b/>
          <w:color w:val="FF0000"/>
          <w:lang w:val="fr-FR"/>
        </w:rPr>
        <w:t>MATAM</w:t>
      </w:r>
    </w:p>
    <w:p w:rsidR="00F355F4" w:rsidRPr="00ED7DDD" w:rsidRDefault="00F355F4" w:rsidP="00F355F4">
      <w:pPr>
        <w:rPr>
          <w:b/>
          <w:color w:val="FF0000"/>
          <w:lang w:val="fr-FR"/>
        </w:rPr>
      </w:pPr>
    </w:p>
    <w:p w:rsidR="00F355F4" w:rsidRPr="00ED7DDD" w:rsidRDefault="00F355F4" w:rsidP="00F355F4">
      <w:pPr>
        <w:rPr>
          <w:b/>
          <w:color w:val="FF0000"/>
          <w:lang w:val="fr-FR"/>
        </w:rPr>
      </w:pPr>
      <w:r w:rsidRPr="00ED7DDD">
        <w:rPr>
          <w:b/>
          <w:color w:val="FF0000"/>
          <w:lang w:val="fr-FR"/>
        </w:rPr>
        <w:t>DEPARTEMENT :</w:t>
      </w:r>
      <w:r w:rsidR="009A677B">
        <w:rPr>
          <w:b/>
          <w:color w:val="FF0000"/>
          <w:lang w:val="fr-FR"/>
        </w:rPr>
        <w:t xml:space="preserve"> MATAM</w:t>
      </w:r>
    </w:p>
    <w:p w:rsidR="00C92ED6" w:rsidRPr="00ED7DDD" w:rsidRDefault="00F355F4" w:rsidP="00F355F4">
      <w:pPr>
        <w:pStyle w:val="Titre4"/>
        <w:rPr>
          <w:color w:val="FF0000"/>
        </w:rPr>
      </w:pPr>
      <w:r w:rsidRPr="00ED7DDD">
        <w:rPr>
          <w:color w:val="FF0000"/>
        </w:rPr>
        <w:t>Numero de la fiche </w:t>
      </w:r>
      <w:r w:rsidR="009A677B" w:rsidRPr="00ED7DDD">
        <w:rPr>
          <w:color w:val="FF0000"/>
        </w:rPr>
        <w:t>:</w:t>
      </w:r>
      <w:r w:rsidR="009A677B">
        <w:rPr>
          <w:rFonts w:ascii="Times New Roman" w:hAnsi="Times New Roman" w:cs="Times New Roman"/>
          <w:color w:val="FF0000"/>
          <w:sz w:val="32"/>
          <w:szCs w:val="20"/>
        </w:rPr>
        <w:t xml:space="preserve"> SNMT9MTMPCI </w:t>
      </w:r>
      <w:r w:rsidR="003F298E">
        <w:rPr>
          <w:rFonts w:ascii="Times New Roman" w:hAnsi="Times New Roman" w:cs="Times New Roman"/>
          <w:color w:val="FF0000"/>
          <w:sz w:val="32"/>
          <w:szCs w:val="20"/>
        </w:rPr>
        <w:t xml:space="preserve"> 01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C92ED6" w:rsidRPr="00A06BCB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C92ED6" w:rsidRPr="007254B2" w:rsidRDefault="00C92ED6" w:rsidP="007254B2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  <w:p w:rsidR="00DF78FC" w:rsidRPr="008C7B4F" w:rsidRDefault="00DF78FC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Caayde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4E6BC1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Thilogne</w:t>
            </w:r>
            <w:proofErr w:type="spellEnd"/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C92ED6" w:rsidRDefault="00A06BCB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  <w:r w:rsidR="00DF78FC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  <w:p w:rsidR="00DF78FC" w:rsidRPr="008C7B4F" w:rsidRDefault="008C7B4F" w:rsidP="008C7B4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Caayde</w:t>
            </w:r>
            <w:proofErr w:type="spellEnd"/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 : </w:t>
            </w: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Pratiques sociales, rituels et événements festifs</w:t>
            </w:r>
          </w:p>
        </w:tc>
      </w:tr>
      <w:tr w:rsidR="00C92ED6" w:rsidRPr="00C92ED6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en-GB" w:eastAsia="fr-FR"/>
              </w:rPr>
            </w:pPr>
            <w:proofErr w:type="spellStart"/>
            <w:r w:rsidRPr="00C92ED6">
              <w:rPr>
                <w:snapToGrid/>
                <w:sz w:val="18"/>
                <w:szCs w:val="18"/>
                <w:lang w:val="en-GB" w:eastAsia="fr-FR"/>
              </w:rPr>
              <w:t>Communauté</w:t>
            </w:r>
            <w:proofErr w:type="spellEnd"/>
            <w:r w:rsidRPr="00C92ED6">
              <w:rPr>
                <w:snapToGrid/>
                <w:sz w:val="18"/>
                <w:szCs w:val="18"/>
                <w:lang w:val="en-GB" w:eastAsia="fr-FR"/>
              </w:rPr>
              <w:t xml:space="preserve">(s) </w:t>
            </w:r>
            <w:proofErr w:type="spellStart"/>
            <w:r w:rsidRPr="00C92ED6">
              <w:rPr>
                <w:snapToGrid/>
                <w:sz w:val="18"/>
                <w:szCs w:val="18"/>
                <w:lang w:val="en-GB" w:eastAsia="fr-FR"/>
              </w:rPr>
              <w:t>concernée</w:t>
            </w:r>
            <w:proofErr w:type="spellEnd"/>
            <w:r w:rsidRPr="00C92ED6">
              <w:rPr>
                <w:snapToGrid/>
                <w:sz w:val="18"/>
                <w:szCs w:val="18"/>
                <w:lang w:val="en-GB" w:eastAsia="fr-FR"/>
              </w:rPr>
              <w:t>(s)</w:t>
            </w:r>
          </w:p>
          <w:p w:rsidR="00DF78FC" w:rsidRPr="008C7B4F" w:rsidRDefault="00DF78FC" w:rsidP="00C92ED6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en-GB" w:eastAsia="fr-FR"/>
              </w:rPr>
            </w:pP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en-GB" w:eastAsia="fr-FR"/>
              </w:rPr>
              <w:t>Ceedo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en-GB" w:eastAsia="fr-FR"/>
              </w:rPr>
              <w:t xml:space="preserve">,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en-GB" w:eastAsia="fr-FR"/>
              </w:rPr>
              <w:t>Torodo</w:t>
            </w:r>
            <w:proofErr w:type="spellEnd"/>
          </w:p>
          <w:p w:rsidR="00DF78FC" w:rsidRPr="00C92ED6" w:rsidRDefault="00DF78FC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</w:p>
          <w:p w:rsidR="00DF78FC" w:rsidRPr="008C7B4F" w:rsidRDefault="004E6BC1" w:rsidP="008C7B4F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L’élément est pratiqué à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Thilogne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chaque année</w:t>
            </w:r>
            <w:r w:rsidR="00DF78FC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A06BCB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8C7B4F" w:rsidRDefault="00C92ED6" w:rsidP="004E6BC1">
            <w:pPr>
              <w:spacing w:before="80" w:after="1920" w:line="200" w:lineRule="exact"/>
              <w:ind w:left="113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  <w:r w:rsidR="00DF78FC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       </w:t>
            </w:r>
            <w:r w:rsidR="00DF78FC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Il s’agit  ici d’une pratique </w:t>
            </w:r>
            <w:r w:rsidR="005F1B01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strictement réservée aux femmes, Habillés de boubous traditionnelles, </w:t>
            </w:r>
            <w:r w:rsidR="00DF78FC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  </w:t>
            </w:r>
            <w:r w:rsidR="005F1B01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parés de leurs plus beaux bijoux, le groupe de femme se rend de concession en concession, marchant au pas en imitant la démarche et le battement d’ailes de l’oiseau </w:t>
            </w:r>
            <w:proofErr w:type="spellStart"/>
            <w:r w:rsidR="005F1B01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caydé</w:t>
            </w:r>
            <w:proofErr w:type="spellEnd"/>
            <w:r w:rsidR="00A01AEF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avec des chants des claquements de </w:t>
            </w:r>
            <w:r w:rsidR="004E6BC1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main</w:t>
            </w:r>
            <w:r w:rsidR="00A01AEF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, les petites filles devant et les femmes derrière</w:t>
            </w:r>
            <w:r w:rsid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.</w:t>
            </w:r>
          </w:p>
          <w:p w:rsidR="00DF78FC" w:rsidRPr="00C92ED6" w:rsidRDefault="00DF78FC" w:rsidP="00C92ED6">
            <w:pPr>
              <w:spacing w:before="80" w:after="192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lastRenderedPageBreak/>
              <w:t>2.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96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5F1B01" w:rsidRPr="008C7B4F" w:rsidRDefault="005F1B01" w:rsidP="00C92ED6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Les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ceddos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et les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torobés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femmes de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Thilogne</w:t>
            </w:r>
            <w:proofErr w:type="spellEnd"/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:rsidR="00A01AEF" w:rsidRPr="00A01AEF" w:rsidRDefault="00C92ED6" w:rsidP="00600144">
            <w:pPr>
              <w:spacing w:before="80" w:after="96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  <w:r w:rsidR="00A01AEF">
              <w:rPr>
                <w:snapToGrid/>
                <w:sz w:val="18"/>
                <w:szCs w:val="18"/>
                <w:lang w:val="fr-FR" w:eastAsia="fr-FR"/>
              </w:rPr>
              <w:t xml:space="preserve">   </w:t>
            </w:r>
            <w:r w:rsidR="00D70B3F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                                                                                       </w:t>
            </w:r>
            <w:r w:rsidR="00A01AEF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                                                                                      </w:t>
            </w:r>
            <w:r w:rsidR="00D70B3F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- </w:t>
            </w:r>
            <w:r w:rsidR="00A01AEF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Les forgerons, s’occupent des tresses et de la confection des boucles d’oreilles utilisées à l’occasion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  <w:r w:rsidR="00D70B3F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                                                       </w:t>
            </w:r>
            <w:r w:rsidR="00D70B3F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 </w:t>
            </w:r>
            <w:proofErr w:type="spellStart"/>
            <w:r w:rsidR="00D70B3F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puular</w:t>
            </w:r>
            <w:proofErr w:type="spellEnd"/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D70B3F" w:rsidRPr="00D70B3F" w:rsidRDefault="00C92ED6" w:rsidP="00D70B3F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  <w:r w:rsidR="00D70B3F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                            </w:t>
            </w:r>
            <w:r w:rsidR="00D70B3F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Les tresses en laine et les boucles d’oreilles confectionnés par les femmes forgerons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600144" w:rsidRPr="008C7B4F" w:rsidRDefault="008C7B4F" w:rsidP="008C7B4F">
            <w:pPr>
              <w:spacing w:before="80" w:after="480" w:line="200" w:lineRule="exact"/>
              <w:ind w:left="113"/>
              <w:jc w:val="left"/>
              <w:rPr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Des chants en chœurs  accompagnent  la procession 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D70B3F" w:rsidRPr="008C7B4F" w:rsidRDefault="00D70B3F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lastRenderedPageBreak/>
              <w:t>Le rythme, les chants et la chorégraphie (démarche langoureuse)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2.7.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  <w:p w:rsidR="00D70B3F" w:rsidRPr="008C7B4F" w:rsidRDefault="00D70B3F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Transmission </w:t>
            </w:r>
            <w:r w:rsid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se fait </w:t>
            </w: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par l’oralité et la pratique</w:t>
            </w:r>
          </w:p>
        </w:tc>
      </w:tr>
      <w:tr w:rsidR="00C92ED6" w:rsidRPr="00A06BCB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:rsidR="00D70B3F" w:rsidRPr="008C7B4F" w:rsidRDefault="00D70B3F" w:rsidP="00D70B3F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association internationale des  ressortissant de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thilogne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(Festival  72 heures de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thilogne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)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8C7B4F" w:rsidRPr="008C7B4F" w:rsidRDefault="00C92ED6" w:rsidP="008C7B4F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  <w:r w:rsidR="002E34B8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                                                                                                         </w:t>
            </w:r>
            <w:r w:rsidR="008C7B4F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Le manque d’intérêt et la modernité</w:t>
            </w:r>
          </w:p>
          <w:p w:rsidR="00C92ED6" w:rsidRPr="00C92ED6" w:rsidRDefault="00C92ED6" w:rsidP="00600144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2E34B8" w:rsidRDefault="00C92ED6" w:rsidP="00D70B3F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  <w:r w:rsidR="00D70B3F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  <w:p w:rsidR="002E34B8" w:rsidRPr="008C7B4F" w:rsidRDefault="002E34B8" w:rsidP="00D70B3F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Le manque d’intérêt et la modernité</w:t>
            </w:r>
          </w:p>
          <w:p w:rsidR="00D70B3F" w:rsidRPr="00D70B3F" w:rsidRDefault="00D70B3F" w:rsidP="00D70B3F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Menaces pesant sur un accès durable aux éléments matériels et aux ressources (le cas échéant)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lastRenderedPageBreak/>
              <w:t>associés à l’élément du PCI</w:t>
            </w:r>
          </w:p>
          <w:p w:rsidR="002E34B8" w:rsidRPr="005B57D8" w:rsidRDefault="002E34B8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3.4.</w:t>
            </w:r>
          </w:p>
        </w:tc>
        <w:tc>
          <w:tcPr>
            <w:tcW w:w="8283" w:type="dxa"/>
            <w:shd w:val="clear" w:color="auto" w:fill="auto"/>
          </w:tcPr>
          <w:p w:rsidR="002E34B8" w:rsidRPr="002E34B8" w:rsidRDefault="00C92ED6" w:rsidP="002E34B8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</w:t>
            </w:r>
            <w:r w:rsidR="002E34B8">
              <w:rPr>
                <w:snapToGrid/>
                <w:sz w:val="18"/>
                <w:szCs w:val="18"/>
                <w:lang w:val="fr-FR" w:eastAsia="fr-FR"/>
              </w:rPr>
              <w:t xml:space="preserve">I </w:t>
            </w:r>
          </w:p>
        </w:tc>
      </w:tr>
      <w:tr w:rsidR="00C92ED6" w:rsidRPr="00A06BCB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  <w:r w:rsidR="002E34B8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            </w:t>
            </w:r>
            <w:r w:rsidR="002E34B8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 festival des 72 heures de </w:t>
            </w:r>
            <w:proofErr w:type="spellStart"/>
            <w:r w:rsidR="002E34B8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thilogne</w:t>
            </w:r>
            <w:proofErr w:type="spellEnd"/>
            <w:r w:rsidR="002E34B8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est une bonne tribune pour continuer </w:t>
            </w:r>
            <w:proofErr w:type="spellStart"/>
            <w:r w:rsidR="002E34B8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a</w:t>
            </w:r>
            <w:proofErr w:type="spellEnd"/>
            <w:r w:rsidR="002E34B8"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pratiquer l’élément</w:t>
            </w:r>
            <w:r w:rsidR="002E34B8">
              <w:rPr>
                <w:snapToGrid/>
                <w:sz w:val="18"/>
                <w:szCs w:val="18"/>
                <w:lang w:val="fr-FR" w:eastAsia="fr-FR"/>
              </w:rPr>
              <w:t xml:space="preserve">   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F25AE7" w:rsidP="00F25AE7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8C7B4F" w:rsidRPr="009C2888" w:rsidRDefault="00C92ED6" w:rsidP="008C7B4F">
            <w:pPr>
              <w:spacing w:before="80" w:after="480" w:line="200" w:lineRule="exact"/>
              <w:ind w:left="113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  <w:r w:rsidR="002E34B8">
              <w:rPr>
                <w:snapToGrid/>
                <w:sz w:val="18"/>
                <w:szCs w:val="18"/>
                <w:lang w:val="fr-FR" w:eastAsia="fr-FR"/>
              </w:rPr>
              <w:t xml:space="preserve">         enregistrement audio</w:t>
            </w:r>
            <w:r w:rsidR="008C7B4F"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</w:p>
          <w:p w:rsidR="008C7B4F" w:rsidRPr="00C92ED6" w:rsidRDefault="008C7B4F" w:rsidP="008C7B4F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  <w:p w:rsidR="005B57D8" w:rsidRPr="00C92ED6" w:rsidRDefault="005B57D8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 audio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2E34B8" w:rsidRDefault="00C92ED6" w:rsidP="00172A30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  <w:r w:rsidR="002E34B8">
              <w:rPr>
                <w:snapToGrid/>
                <w:sz w:val="18"/>
                <w:szCs w:val="18"/>
                <w:lang w:val="fr-FR" w:eastAsia="fr-FR"/>
              </w:rPr>
              <w:t xml:space="preserve">    </w:t>
            </w:r>
          </w:p>
          <w:p w:rsidR="008C7B4F" w:rsidRDefault="008C7B4F" w:rsidP="008C7B4F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C92ED6" w:rsidRDefault="00C92ED6" w:rsidP="00172A30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8C7B4F" w:rsidRPr="00C92ED6" w:rsidRDefault="008C7B4F" w:rsidP="00172A30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</w:p>
          <w:p w:rsidR="002E34B8" w:rsidRPr="00C92ED6" w:rsidRDefault="002E34B8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24 avril 2019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A16589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5.1.</w:t>
            </w:r>
          </w:p>
        </w:tc>
        <w:tc>
          <w:tcPr>
            <w:tcW w:w="8283" w:type="dxa"/>
            <w:shd w:val="clear" w:color="auto" w:fill="auto"/>
          </w:tcPr>
          <w:p w:rsidR="00C92ED6" w:rsidRDefault="00172A30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 w:rsidR="00A16589"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  <w:p w:rsidR="002E34B8" w:rsidRPr="00642FB5" w:rsidRDefault="00642FB5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642FB5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Archives nationale du Sénégal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C92ED6" w:rsidRDefault="00A16589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</w:p>
          <w:p w:rsidR="002E34B8" w:rsidRPr="008C7B4F" w:rsidRDefault="002E34B8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Archives Festival  72 heures de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thilogne</w:t>
            </w:r>
            <w:proofErr w:type="spellEnd"/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642FB5" w:rsidRDefault="00A16589" w:rsidP="00A16589">
            <w:pPr>
              <w:spacing w:before="80" w:after="960" w:line="200" w:lineRule="exact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  <w:p w:rsidR="002E34B8" w:rsidRPr="00642FB5" w:rsidRDefault="00642FB5" w:rsidP="00A16589">
            <w:pPr>
              <w:spacing w:before="80" w:after="960" w:line="200" w:lineRule="exact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8B309F"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>Des objets sont présents dans la communauté</w:t>
            </w:r>
          </w:p>
        </w:tc>
      </w:tr>
      <w:tr w:rsidR="00C92ED6" w:rsidRPr="00C92ED6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Nom </w:t>
            </w:r>
            <w:r w:rsidR="00F355F4">
              <w:rPr>
                <w:snapToGrid/>
                <w:sz w:val="18"/>
                <w:szCs w:val="18"/>
                <w:lang w:val="fr-FR" w:eastAsia="fr-FR"/>
              </w:rPr>
              <w:t xml:space="preserve">et contacts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la pe</w:t>
            </w:r>
            <w:r w:rsidR="00172A30">
              <w:rPr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</w:p>
          <w:p w:rsidR="00642FB5" w:rsidRPr="008C7B4F" w:rsidRDefault="00642FB5" w:rsidP="00642FB5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Aissata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babayel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ndiaye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dite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ndiabou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et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Penda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lom</w:t>
            </w:r>
            <w:proofErr w:type="spellEnd"/>
            <w:r w:rsidRPr="008C7B4F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 + 221 773169238</w:t>
            </w:r>
          </w:p>
          <w:p w:rsidR="00642FB5" w:rsidRPr="003D0224" w:rsidRDefault="00642FB5" w:rsidP="00642FB5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Samba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mbodj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directeur du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cedeps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de Matam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+ 221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77 5 41 86 14</w:t>
            </w:r>
          </w:p>
          <w:p w:rsidR="00642FB5" w:rsidRPr="003D0224" w:rsidRDefault="00642FB5" w:rsidP="00642FB5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alpha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ba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bureau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parteneuriat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IA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matam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+ 221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77 542 03 20</w:t>
            </w:r>
          </w:p>
          <w:p w:rsidR="00642FB5" w:rsidRPr="003D0224" w:rsidRDefault="00642FB5" w:rsidP="00642FB5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Amadou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mamadou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diaw</w:t>
            </w:r>
            <w:proofErr w:type="spellEnd"/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agent du CCR de Matam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+ 221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77 948 83 81</w:t>
            </w:r>
          </w:p>
          <w:p w:rsidR="00642FB5" w:rsidRPr="003D0224" w:rsidRDefault="00642FB5" w:rsidP="00642FB5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</w:pP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Monsieur Cheikh </w:t>
            </w:r>
            <w:proofErr w:type="spellStart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ndiaye</w:t>
            </w:r>
            <w:proofErr w:type="spellEnd"/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 </w:t>
            </w:r>
            <w:r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Directeur du Centre culturel régional de Matam </w:t>
            </w:r>
            <w:r>
              <w:rPr>
                <w:rFonts w:asciiTheme="minorHAnsi" w:hAnsiTheme="minorHAnsi" w:cstheme="minorHAnsi"/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+ 221 </w:t>
            </w:r>
            <w:r w:rsidRPr="003D0224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77 552 06 28</w:t>
            </w:r>
          </w:p>
          <w:p w:rsidR="00642FB5" w:rsidRDefault="00642FB5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886A29" w:rsidRPr="00C92ED6" w:rsidRDefault="00886A29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6.2.</w:t>
            </w:r>
          </w:p>
        </w:tc>
        <w:tc>
          <w:tcPr>
            <w:tcW w:w="8283" w:type="dxa"/>
            <w:shd w:val="clear" w:color="auto" w:fill="auto"/>
          </w:tcPr>
          <w:p w:rsidR="00642FB5" w:rsidRDefault="00C92ED6" w:rsidP="00642FB5">
            <w:pPr>
              <w:spacing w:before="80" w:after="48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</w:t>
            </w:r>
            <w:proofErr w:type="spellStart"/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inventaire</w:t>
            </w:r>
            <w:r w:rsidR="00642FB5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Les</w:t>
            </w:r>
            <w:proofErr w:type="spellEnd"/>
            <w:r w:rsidR="00642FB5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</w:t>
            </w:r>
            <w:r w:rsidR="00642FB5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Enregistrement</w:t>
            </w:r>
            <w:r w:rsidR="00642FB5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s</w:t>
            </w:r>
            <w:r w:rsidR="00642FB5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audio</w:t>
            </w:r>
            <w:r w:rsidR="00642FB5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sont</w:t>
            </w:r>
            <w:r w:rsidR="00642FB5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disponibles au centre culturel régional de Matam et </w:t>
            </w:r>
            <w:r w:rsidR="00642FB5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sont </w:t>
            </w:r>
            <w:r w:rsidR="00642FB5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transmise</w:t>
            </w:r>
            <w:r w:rsidR="00642FB5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s </w:t>
            </w:r>
            <w:r w:rsidR="00642FB5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à la Direction du patrimoine</w:t>
            </w:r>
            <w:r w:rsidR="00642FB5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 xml:space="preserve"> culturel</w:t>
            </w:r>
            <w:r w:rsidR="00642FB5" w:rsidRPr="00DE3E89">
              <w:rPr>
                <w:snapToGrid/>
                <w:color w:val="1F497D" w:themeColor="text2"/>
                <w:sz w:val="20"/>
                <w:szCs w:val="20"/>
                <w:lang w:val="fr-FR" w:eastAsia="fr-FR"/>
              </w:rPr>
              <w:t>.</w:t>
            </w:r>
          </w:p>
          <w:p w:rsidR="00886A29" w:rsidRPr="00C92ED6" w:rsidRDefault="00886A29" w:rsidP="00C92ED6">
            <w:pPr>
              <w:spacing w:before="80" w:after="48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:rsidR="00886A29" w:rsidRPr="00642FB5" w:rsidRDefault="00886A29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642FB5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02 / 05 / 2019</w:t>
            </w:r>
          </w:p>
        </w:tc>
      </w:tr>
    </w:tbl>
    <w:p w:rsidR="0043665E" w:rsidRPr="00A31579" w:rsidRDefault="0043665E" w:rsidP="00F631BE">
      <w:pPr>
        <w:pStyle w:val="Texte1"/>
      </w:pPr>
    </w:p>
    <w:sectPr w:rsidR="0043665E" w:rsidRPr="00A31579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48" w:rsidRDefault="00E37748" w:rsidP="0043665E">
      <w:pPr>
        <w:spacing w:before="0" w:after="0"/>
      </w:pPr>
      <w:r>
        <w:separator/>
      </w:r>
    </w:p>
  </w:endnote>
  <w:endnote w:type="continuationSeparator" w:id="0">
    <w:p w:rsidR="00E37748" w:rsidRDefault="00E37748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48" w:rsidRDefault="00E37748" w:rsidP="0043665E">
      <w:pPr>
        <w:spacing w:before="0" w:after="0"/>
      </w:pPr>
      <w:r>
        <w:separator/>
      </w:r>
    </w:p>
  </w:footnote>
  <w:footnote w:type="continuationSeparator" w:id="0">
    <w:p w:rsidR="00E37748" w:rsidRDefault="00E37748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737A0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737A0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024A57">
      <w:rPr>
        <w:rFonts w:eastAsia="Calibri" w:cs="Times New Roman"/>
        <w:noProof/>
        <w:snapToGrid/>
        <w:sz w:val="16"/>
        <w:szCs w:val="22"/>
        <w:lang w:val="it-IT" w:eastAsia="en-US"/>
      </w:rPr>
      <w:t>6</w:t>
    </w:r>
    <w:r w:rsidR="00737A0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737A0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737A0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024A57">
      <w:rPr>
        <w:rFonts w:eastAsia="Calibri" w:cs="Times New Roman"/>
        <w:noProof/>
        <w:snapToGrid/>
        <w:sz w:val="16"/>
        <w:szCs w:val="22"/>
        <w:lang w:val="it-IT" w:eastAsia="en-US"/>
      </w:rPr>
      <w:t>5</w:t>
    </w:r>
    <w:r w:rsidR="00737A0E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0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19"/>
  </w:num>
  <w:num w:numId="18">
    <w:abstractNumId w:val="21"/>
  </w:num>
  <w:num w:numId="19">
    <w:abstractNumId w:val="7"/>
  </w:num>
  <w:num w:numId="20">
    <w:abstractNumId w:val="16"/>
  </w:num>
  <w:num w:numId="21">
    <w:abstractNumId w:val="17"/>
  </w:num>
  <w:num w:numId="22">
    <w:abstractNumId w:val="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24A57"/>
    <w:rsid w:val="000769D3"/>
    <w:rsid w:val="00172A30"/>
    <w:rsid w:val="00182DE5"/>
    <w:rsid w:val="00184690"/>
    <w:rsid w:val="002132F0"/>
    <w:rsid w:val="0026188F"/>
    <w:rsid w:val="00284583"/>
    <w:rsid w:val="002E34B8"/>
    <w:rsid w:val="003342CA"/>
    <w:rsid w:val="00342E35"/>
    <w:rsid w:val="0037452C"/>
    <w:rsid w:val="003F298E"/>
    <w:rsid w:val="00421951"/>
    <w:rsid w:val="0043665E"/>
    <w:rsid w:val="00490480"/>
    <w:rsid w:val="004E6BC1"/>
    <w:rsid w:val="005273C3"/>
    <w:rsid w:val="005732C3"/>
    <w:rsid w:val="005B57D8"/>
    <w:rsid w:val="005D395D"/>
    <w:rsid w:val="005D653B"/>
    <w:rsid w:val="005F1B01"/>
    <w:rsid w:val="00600144"/>
    <w:rsid w:val="0060566B"/>
    <w:rsid w:val="00642FB5"/>
    <w:rsid w:val="00660044"/>
    <w:rsid w:val="00670B71"/>
    <w:rsid w:val="006942BD"/>
    <w:rsid w:val="007254B2"/>
    <w:rsid w:val="00737A0E"/>
    <w:rsid w:val="00782E2F"/>
    <w:rsid w:val="007D3D1C"/>
    <w:rsid w:val="007D66AD"/>
    <w:rsid w:val="0086313E"/>
    <w:rsid w:val="00880E45"/>
    <w:rsid w:val="00886A29"/>
    <w:rsid w:val="008C6A60"/>
    <w:rsid w:val="008C7B4F"/>
    <w:rsid w:val="008D718D"/>
    <w:rsid w:val="00904171"/>
    <w:rsid w:val="0093621C"/>
    <w:rsid w:val="00972F71"/>
    <w:rsid w:val="0099595A"/>
    <w:rsid w:val="009A677B"/>
    <w:rsid w:val="009B4E97"/>
    <w:rsid w:val="00A01AEF"/>
    <w:rsid w:val="00A06BCB"/>
    <w:rsid w:val="00A16589"/>
    <w:rsid w:val="00A57FDF"/>
    <w:rsid w:val="00B45F43"/>
    <w:rsid w:val="00BC79D7"/>
    <w:rsid w:val="00BD38AC"/>
    <w:rsid w:val="00C13746"/>
    <w:rsid w:val="00C17481"/>
    <w:rsid w:val="00C203FD"/>
    <w:rsid w:val="00C92ED6"/>
    <w:rsid w:val="00D11FA6"/>
    <w:rsid w:val="00D70B3F"/>
    <w:rsid w:val="00DF78FC"/>
    <w:rsid w:val="00E37748"/>
    <w:rsid w:val="00E948A2"/>
    <w:rsid w:val="00EA348C"/>
    <w:rsid w:val="00ED7DDD"/>
    <w:rsid w:val="00EE38CE"/>
    <w:rsid w:val="00F25AE7"/>
    <w:rsid w:val="00F355F4"/>
    <w:rsid w:val="00F631BE"/>
    <w:rsid w:val="00FD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88F212A-11C3-46A0-B3A7-98079994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F5AD-C8D7-4A69-97B6-356FBF4F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4871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dcterms:created xsi:type="dcterms:W3CDTF">2019-05-24T15:12:00Z</dcterms:created>
  <dcterms:modified xsi:type="dcterms:W3CDTF">2019-05-24T15:12:00Z</dcterms:modified>
</cp:coreProperties>
</file>