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D5F" w:rsidRDefault="00DA43CF" w:rsidP="00DA43CF">
      <w:pPr>
        <w:pStyle w:val="Titre4"/>
        <w:jc w:val="center"/>
        <w:rPr>
          <w:smallCaps w:val="0"/>
          <w:color w:val="00B050"/>
          <w:sz w:val="36"/>
          <w:szCs w:val="36"/>
        </w:rPr>
      </w:pPr>
      <w:r>
        <w:rPr>
          <w:smallCaps w:val="0"/>
          <w:color w:val="00B050"/>
          <w:sz w:val="36"/>
          <w:szCs w:val="36"/>
        </w:rPr>
        <w:t>PROGRAMM</w:t>
      </w:r>
      <w:r>
        <w:rPr>
          <w:smallCaps w:val="0"/>
          <w:color w:val="00B050"/>
          <w:sz w:val="36"/>
          <w:szCs w:val="36"/>
        </w:rPr>
        <w:t xml:space="preserve">E NATIONAL </w:t>
      </w:r>
      <w:r>
        <w:rPr>
          <w:smallCaps w:val="0"/>
          <w:color w:val="00B050"/>
          <w:sz w:val="36"/>
          <w:szCs w:val="36"/>
        </w:rPr>
        <w:t>D’INVENTAIRE DU PCI PHASE PILOTE</w:t>
      </w:r>
    </w:p>
    <w:p w:rsidR="00885D5F" w:rsidRDefault="00DA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REGION</w:t>
      </w:r>
      <w:r>
        <w:rPr>
          <w:color w:val="000000"/>
        </w:rPr>
        <w:t xml:space="preserve"> : </w:t>
      </w:r>
      <w:r>
        <w:rPr>
          <w:color w:val="00B050"/>
        </w:rPr>
        <w:t>SD</w:t>
      </w:r>
    </w:p>
    <w:p w:rsidR="00885D5F" w:rsidRDefault="00DA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DEPARTEMENT</w:t>
      </w:r>
      <w:r>
        <w:rPr>
          <w:color w:val="000000"/>
        </w:rPr>
        <w:t xml:space="preserve"> : </w:t>
      </w:r>
      <w:r>
        <w:rPr>
          <w:color w:val="00B050"/>
        </w:rPr>
        <w:t>SDH</w:t>
      </w:r>
    </w:p>
    <w:p w:rsidR="00885D5F" w:rsidRDefault="00DA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B050"/>
        </w:rPr>
      </w:pPr>
      <w:r>
        <w:rPr>
          <w:b/>
          <w:color w:val="000000"/>
        </w:rPr>
        <w:t>NUMERO DE LA FICHE</w:t>
      </w:r>
      <w:r>
        <w:rPr>
          <w:color w:val="000000"/>
        </w:rPr>
        <w:t xml:space="preserve"> : </w:t>
      </w:r>
      <w:r>
        <w:rPr>
          <w:color w:val="00B050"/>
        </w:rPr>
        <w:t>SNSD12SDHPCI_003_2019</w:t>
      </w:r>
    </w:p>
    <w:p w:rsidR="00885D5F" w:rsidRDefault="00885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390"/>
      </w:tblGrid>
      <w:tr w:rsidR="00885D5F">
        <w:tc>
          <w:tcPr>
            <w:tcW w:w="672" w:type="dxa"/>
          </w:tcPr>
          <w:p w:rsidR="00885D5F" w:rsidRDefault="00DA43CF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390" w:type="dxa"/>
          </w:tcPr>
          <w:p w:rsidR="00885D5F" w:rsidRDefault="00DA4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80" w:after="80"/>
              <w:ind w:left="113" w:hanging="567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IDENTIFICATION DE L’ÉLÉMENT DU PCI</w:t>
            </w: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390" w:type="dxa"/>
          </w:tcPr>
          <w:p w:rsidR="00885D5F" w:rsidRDefault="00DA43CF">
            <w:pPr>
              <w:spacing w:before="8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 de l’élément du PCI tel qu’il est employé par la communauté concernée</w:t>
            </w:r>
          </w:p>
          <w:p w:rsidR="00885D5F" w:rsidRDefault="00DA4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80"/>
              <w:ind w:left="473" w:hanging="720"/>
              <w:rPr>
                <w:rFonts w:ascii="Times New Roman" w:eastAsia="Times New Roman" w:hAnsi="Times New Roman" w:cs="Times New Roman"/>
                <w:b/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DIOOKA : Chant poétique dédié aux cultivateurs</w:t>
            </w: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48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390" w:type="dxa"/>
          </w:tcPr>
          <w:p w:rsidR="00885D5F" w:rsidRDefault="00DA43CF">
            <w:pPr>
              <w:spacing w:before="8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Titre de l’élément du PCI ‒ avec indication du (des) domaine(s) du PCI concerné(s)</w:t>
            </w:r>
          </w:p>
          <w:p w:rsidR="00885D5F" w:rsidRDefault="00DA43C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80"/>
              <w:rPr>
                <w:i/>
                <w:smallCaps/>
                <w:color w:val="00B05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Traditions et expressions orales </w:t>
            </w:r>
          </w:p>
          <w:p w:rsidR="00885D5F" w:rsidRDefault="00DA43C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80"/>
              <w:rPr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Pratiques sociales, rituels et événements festifs </w:t>
            </w: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48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390" w:type="dxa"/>
          </w:tcPr>
          <w:p w:rsidR="00885D5F" w:rsidRDefault="00DA43CF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Communauté(s) concernée(s)</w:t>
            </w:r>
          </w:p>
          <w:p w:rsidR="00885D5F" w:rsidRDefault="00DA43C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Mandingue. </w:t>
            </w: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48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390" w:type="dxa"/>
          </w:tcPr>
          <w:p w:rsidR="00885D5F" w:rsidRDefault="00DA43CF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Emplacement(s) physique(s)/répartition et fréquence de la pratique de l’élément du PCI</w:t>
            </w:r>
          </w:p>
          <w:p w:rsidR="00885D5F" w:rsidRDefault="00DA43CF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Comme les poètes en Europe, les louangeurs de l’islam en Arabie, on rencontre dans 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Pakao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, région de Sédhiou en Casamance, des paroliers traditionnels ou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Diooka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laalaa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885D5F" w:rsidRDefault="00DA4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Ces paroliers ou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diooka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laalaa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sont présents un peu partout dans la sous-région notam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ment en Guinée Bissau et en Gambie.</w:t>
            </w:r>
          </w:p>
          <w:p w:rsidR="00885D5F" w:rsidRDefault="00885D5F">
            <w:pPr>
              <w:jc w:val="both"/>
              <w:rPr>
                <w:rFonts w:ascii="Times New Roman" w:eastAsia="Times New Roman" w:hAnsi="Times New Roman" w:cs="Times New Roman"/>
                <w:b/>
                <w:smallCaps/>
                <w:color w:val="00B050"/>
                <w:sz w:val="24"/>
                <w:szCs w:val="24"/>
              </w:rPr>
            </w:pP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390" w:type="dxa"/>
          </w:tcPr>
          <w:p w:rsidR="00885D5F" w:rsidRDefault="00885D5F">
            <w:pPr>
              <w:ind w:left="113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885D5F" w:rsidRDefault="00DA43CF">
            <w:pPr>
              <w:ind w:left="113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Brève description de l’élément du PCI (de préférence pas plus de 200 mots) </w:t>
            </w:r>
          </w:p>
          <w:p w:rsidR="00885D5F" w:rsidRDefault="00DA43CF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diookaa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est un poème en langue traditionnelle mandingue. Il est dit ou chanté par des paroliers ou poètes spécialistes en la matière. Les poèmes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diooka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sont exclusivement oraux, il n’y a pas d’écrit. 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diookaa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est chanté pour galvaniser les cultivat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eurs dans les champs et les compétitions entre cultivateurs. 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diookaa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est également dit à l’occasion des guerres ou batailles, pour faire revivre l’histoire des peuples par des messages.  En gros, 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diookaa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sert à créer de l’émulation pour que les trava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illeurs puissent se surpasser. C’est une activité entièrement réservée aux hommes.</w:t>
            </w:r>
          </w:p>
          <w:p w:rsidR="00885D5F" w:rsidRDefault="00DA43CF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diookaa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est genre littéraire oral très ancien aux formes de déclamations variées. Il se présente en vers mais peut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également admettre des proses. Il est rythmé par un tam-tam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communément appelé ‘’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kutirubaa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’’. Le choix du sens de chaque mot est très déterminant dans l’exécution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diookaa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car destiné à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réveiller les sentiments de courage, d’abnégation, de sursaut, de performance et de bravoure chez les travailleurs champêtre.</w:t>
            </w:r>
          </w:p>
          <w:p w:rsidR="00885D5F" w:rsidRDefault="00DA43CF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 parolier exprime ses sentiments à travers des paroles qui galvanisent les cultivateurs ou les guerriers pour qu’ils se surpassent dans leurs actions.</w:t>
            </w:r>
          </w:p>
          <w:p w:rsidR="00885D5F" w:rsidRDefault="00DA43CF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Le parolier ou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diookaa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laalaa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se met à la lisière du champ, vêtu d’un boubou en coton tissé, coiffé d’un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chapeau de paille tressé ou ‘’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maakaa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’’, chante les louanges des braves cultivateurs qui sont dans les champs.</w:t>
            </w:r>
          </w:p>
          <w:p w:rsidR="00885D5F" w:rsidRDefault="00DA43CF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Le parolier n’est pas issu d’une famille de griot. En intellectuel traditionnel et poète averti, il joue aussi le rôle de régulateur social en pe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ignant les problèmes de la communauté. </w:t>
            </w: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390" w:type="dxa"/>
          </w:tcPr>
          <w:p w:rsidR="00885D5F" w:rsidRDefault="00DA43CF">
            <w:pPr>
              <w:spacing w:before="80" w:after="80"/>
              <w:ind w:left="113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CARACTÉRISTIQUES DE L’ÉLÉMENT DU PCI</w:t>
            </w: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390" w:type="dxa"/>
          </w:tcPr>
          <w:p w:rsidR="00885D5F" w:rsidRDefault="00DA43C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Praticien(s)/interprète(s) directement impliqué(s) dans la représentation ou la pratique de l’élément   du PCI (préciser nom, âge, sexe, catégorie professionnelle, etc.)</w:t>
            </w:r>
          </w:p>
          <w:p w:rsidR="00885D5F" w:rsidRDefault="00DA43C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113"/>
              <w:rPr>
                <w:b/>
                <w:smallCaps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B050"/>
              </w:rPr>
              <w:t>Karamo</w:t>
            </w:r>
            <w:proofErr w:type="spellEnd"/>
            <w:r>
              <w:rPr>
                <w:rFonts w:ascii="Arial" w:eastAsia="Arial" w:hAnsi="Arial" w:cs="Arial"/>
                <w:color w:val="00B050"/>
              </w:rPr>
              <w:t xml:space="preserve"> CISSE 57 ans, cultivateur / Moniteur en alphabétisation Tel N° 77 179 47 02 </w:t>
            </w:r>
          </w:p>
          <w:p w:rsidR="00885D5F" w:rsidRDefault="0088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473" w:right="113" w:hanging="720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390" w:type="dxa"/>
          </w:tcPr>
          <w:p w:rsidR="00885D5F" w:rsidRDefault="00DA43C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Autres Personnes De La Communauté Qui, Sans Etre Directement Impliquées, Contribuent A La Pratique De L’élément Ou En Facilitent La Pratique Ou La Transmission (Préparation De La Scène, Costumes, Formation, Supervision)</w:t>
            </w:r>
          </w:p>
          <w:p w:rsidR="00885D5F" w:rsidRDefault="00DA43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/>
              <w:ind w:right="113"/>
              <w:jc w:val="both"/>
              <w:rPr>
                <w:color w:val="00B050"/>
              </w:rPr>
            </w:pPr>
            <w:proofErr w:type="spellStart"/>
            <w:r>
              <w:rPr>
                <w:rFonts w:ascii="Arial" w:eastAsia="Arial" w:hAnsi="Arial" w:cs="Arial"/>
                <w:color w:val="00B050"/>
              </w:rPr>
              <w:t>Sankoung</w:t>
            </w:r>
            <w:proofErr w:type="spellEnd"/>
            <w:r>
              <w:rPr>
                <w:rFonts w:ascii="Arial" w:eastAsia="Arial" w:hAnsi="Arial" w:cs="Arial"/>
                <w:color w:val="00B050"/>
              </w:rPr>
              <w:t xml:space="preserve"> SAGNA Maire de </w:t>
            </w:r>
            <w:proofErr w:type="spellStart"/>
            <w:r>
              <w:rPr>
                <w:rFonts w:ascii="Arial" w:eastAsia="Arial" w:hAnsi="Arial" w:cs="Arial"/>
                <w:color w:val="00B050"/>
              </w:rPr>
              <w:t>Oudoucar</w:t>
            </w:r>
            <w:proofErr w:type="spellEnd"/>
            <w:r>
              <w:rPr>
                <w:rFonts w:ascii="Arial" w:eastAsia="Arial" w:hAnsi="Arial" w:cs="Arial"/>
                <w:color w:val="00B050"/>
              </w:rPr>
              <w:t xml:space="preserve"> rés</w:t>
            </w:r>
            <w:r>
              <w:rPr>
                <w:rFonts w:ascii="Arial" w:eastAsia="Arial" w:hAnsi="Arial" w:cs="Arial"/>
                <w:color w:val="00B050"/>
              </w:rPr>
              <w:t xml:space="preserve">idant à </w:t>
            </w:r>
            <w:proofErr w:type="spellStart"/>
            <w:r>
              <w:rPr>
                <w:rFonts w:ascii="Arial" w:eastAsia="Arial" w:hAnsi="Arial" w:cs="Arial"/>
                <w:color w:val="00B050"/>
              </w:rPr>
              <w:t>Mankonomba</w:t>
            </w:r>
            <w:proofErr w:type="spellEnd"/>
            <w:r>
              <w:rPr>
                <w:rFonts w:ascii="Arial" w:eastAsia="Arial" w:hAnsi="Arial" w:cs="Arial"/>
                <w:color w:val="00B050"/>
              </w:rPr>
              <w:t>.</w:t>
            </w:r>
          </w:p>
          <w:p w:rsidR="00885D5F" w:rsidRDefault="00DA43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113"/>
              <w:rPr>
                <w:smallCaps/>
                <w:color w:val="538135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B050"/>
              </w:rPr>
              <w:t>Kéba</w:t>
            </w:r>
            <w:proofErr w:type="spellEnd"/>
            <w:r>
              <w:rPr>
                <w:rFonts w:ascii="Arial" w:eastAsia="Arial" w:hAnsi="Arial" w:cs="Arial"/>
                <w:color w:val="00B050"/>
              </w:rPr>
              <w:t xml:space="preserve"> FATY Journaliste, communicateur traditionnel, chercheur écrivain, résidant à Sédhiou</w:t>
            </w: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48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390" w:type="dxa"/>
          </w:tcPr>
          <w:p w:rsidR="00885D5F" w:rsidRDefault="00DA43CF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Langue(s) ou registre(s) de langue utilisée(s)</w:t>
            </w:r>
          </w:p>
          <w:p w:rsidR="00885D5F" w:rsidRDefault="00DA43C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Mandingue et français</w:t>
            </w:r>
          </w:p>
          <w:p w:rsidR="00885D5F" w:rsidRDefault="0088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473" w:hanging="720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390" w:type="dxa"/>
          </w:tcPr>
          <w:p w:rsidR="00885D5F" w:rsidRDefault="00DA43CF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Éléments matériels (instruments, vêtements ou lieu[x] spécifiques, objets rituels), le cas échéant,    associés à la pratique ou à la transmission de l’élément du PCI</w:t>
            </w:r>
          </w:p>
          <w:p w:rsidR="00885D5F" w:rsidRDefault="00DA43C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Le parolier </w:t>
            </w: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s’habille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en tenue traditionnelle tissée à base de coton. Il porte un </w:t>
            </w: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chapeau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de paille en forme conique appelé ‘’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</w:rPr>
              <w:t>maakaa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</w:rPr>
              <w:t xml:space="preserve">’’. Le </w:t>
            </w: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tam-tam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, joué par le griot ou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</w:rPr>
              <w:t>dialoo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</w:rPr>
              <w:t xml:space="preserve">, rythme les paroles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</w:rPr>
              <w:t>diookaa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</w:rPr>
              <w:t>.</w:t>
            </w:r>
          </w:p>
          <w:p w:rsidR="00885D5F" w:rsidRDefault="00DA43C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Les cultivateurs sont munis de leur matériel aratoire ou ‘</w:t>
            </w: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daramboo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’’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> : c’est un outil agraire en frome de ‘’V’’ renversé, muni d’une man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che et d’une lame aiguisée. Cet instrument sert à labourer les champs. Les </w:t>
            </w: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canaris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remplis d’eau leur servaient d’abreuvoir. </w:t>
            </w:r>
          </w:p>
          <w:p w:rsidR="00885D5F" w:rsidRDefault="00DA43C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Les lieux de prédilection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</w:rPr>
              <w:t>diookaa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sont les champs de culture ou de bataille.</w:t>
            </w:r>
            <w:r>
              <w:rPr>
                <w:rFonts w:ascii="Times New Roman" w:eastAsia="Times New Roman" w:hAnsi="Times New Roman" w:cs="Times New Roman"/>
                <w:color w:val="538135"/>
                <w:sz w:val="24"/>
                <w:szCs w:val="24"/>
              </w:rPr>
              <w:t xml:space="preserve"> </w:t>
            </w: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48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390" w:type="dxa"/>
          </w:tcPr>
          <w:p w:rsidR="00885D5F" w:rsidRDefault="00DA43CF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Autres éléments immatériels (le cas échéant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associés à la pratique ou à la transmission de l’élément du PCI</w:t>
            </w:r>
          </w:p>
          <w:p w:rsidR="00885D5F" w:rsidRDefault="00DA43C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Le chant: il sert à galvaniser les laboureurs. Lors de l’exécution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diookaa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, un groupe d’hommes sans outil agraire, reprend en chœur les refrains accompagnés de battements des mains.</w:t>
            </w:r>
          </w:p>
          <w:p w:rsidR="00885D5F" w:rsidRDefault="0088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473" w:hanging="720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390" w:type="dxa"/>
          </w:tcPr>
          <w:p w:rsidR="00885D5F" w:rsidRDefault="00DA43CF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Pratiques Coutumières (Le Cas Echéant) Régissant L’accès A L’élément Du PCI Ou A Certains De Ses Aspects</w:t>
            </w:r>
          </w:p>
          <w:p w:rsidR="00885D5F" w:rsidRDefault="00DA43C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Les paroliers se préparent mystiquement et font des charités avant les prestations afin de conjurer le mauvais sort.</w:t>
            </w:r>
          </w:p>
        </w:tc>
      </w:tr>
      <w:tr w:rsidR="00885D5F">
        <w:trPr>
          <w:trHeight w:val="1420"/>
        </w:trPr>
        <w:tc>
          <w:tcPr>
            <w:tcW w:w="672" w:type="dxa"/>
          </w:tcPr>
          <w:p w:rsidR="00885D5F" w:rsidRDefault="00DA43CF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390" w:type="dxa"/>
          </w:tcPr>
          <w:p w:rsidR="00885D5F" w:rsidRDefault="00DA43CF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Modes de transmission aux autres membres de la communauté</w:t>
            </w:r>
          </w:p>
          <w:p w:rsidR="00885D5F" w:rsidRDefault="00DA4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La transmission de la pratique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diookaa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se fait dans le cercle familial ou communautaire.</w:t>
            </w:r>
          </w:p>
          <w:p w:rsidR="00885D5F" w:rsidRDefault="00DA43CF">
            <w:pPr>
              <w:tabs>
                <w:tab w:val="left" w:pos="2690"/>
              </w:tabs>
            </w:pPr>
            <w:r>
              <w:tab/>
            </w: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390" w:type="dxa"/>
          </w:tcPr>
          <w:p w:rsidR="00885D5F" w:rsidRDefault="00DA43CF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Organisations Concernées (Organisations Communautaires, ONG Ou Autres, Le Cas Echéant)</w:t>
            </w:r>
          </w:p>
          <w:p w:rsidR="00885D5F" w:rsidRDefault="00DA4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L’association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taaling-taaling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kéba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Faty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dit Vieux à Sédhiou</w:t>
            </w: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390" w:type="dxa"/>
          </w:tcPr>
          <w:p w:rsidR="00885D5F" w:rsidRDefault="00DA43CF">
            <w:pPr>
              <w:spacing w:before="80" w:after="80"/>
              <w:ind w:left="113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ÉTAT DE L’ÉLÉMENT DU PCI : VIABILITÉ (VOIR COMMENTAIRES CI-APRÈS)</w:t>
            </w: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390" w:type="dxa"/>
          </w:tcPr>
          <w:p w:rsidR="00885D5F" w:rsidRDefault="00DA43CF">
            <w:pPr>
              <w:ind w:left="113" w:right="57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Menaces éventuelles sur la pratique permanente de l’élément dans la (les) communauté(s) concernée(s)</w:t>
            </w:r>
          </w:p>
          <w:p w:rsidR="00885D5F" w:rsidRDefault="00DA43C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57"/>
              <w:rPr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La modernisation et la mécanisation de l’agriculture ont freiné l’évolution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diookaa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885D5F" w:rsidRDefault="00DA43C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57"/>
              <w:rPr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Les jeunes ne s’intéressent plus à une activité comme 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diookaa</w:t>
            </w:r>
            <w:proofErr w:type="spellEnd"/>
          </w:p>
          <w:p w:rsidR="00885D5F" w:rsidRDefault="00DA43C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57"/>
              <w:rPr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Les paroliers ou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diookaa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laalaa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se font de plus en plus rare face aux problèmes de transmission et de s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auvegarde.</w:t>
            </w:r>
          </w:p>
          <w:p w:rsidR="00885D5F" w:rsidRDefault="00885D5F">
            <w:pPr>
              <w:ind w:right="57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390" w:type="dxa"/>
          </w:tcPr>
          <w:p w:rsidR="00885D5F" w:rsidRDefault="00DA43CF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Menaces éventuelles sur la transmission de l’élément dans la (les) communauté(s) concernée(s)</w:t>
            </w:r>
          </w:p>
          <w:p w:rsidR="00885D5F" w:rsidRDefault="00DA43C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57"/>
              <w:rPr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Les paroliers ou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diookaa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laalaa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se font de plus en plus rare face aux problèmes de transmission et de sauvegarde.</w:t>
            </w:r>
          </w:p>
          <w:p w:rsidR="00885D5F" w:rsidRDefault="00DA43C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57"/>
              <w:rPr>
                <w:smallCaps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Avec son oralité exclusive, la pratique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diookaa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rencontre de sérieux problèmes pour être sauvegardé.</w:t>
            </w:r>
          </w:p>
          <w:p w:rsidR="00885D5F" w:rsidRDefault="0088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473" w:hanging="720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390" w:type="dxa"/>
          </w:tcPr>
          <w:p w:rsidR="00885D5F" w:rsidRDefault="00DA43CF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Menaces pesant sur un accès durable aux éléments matériels et aux ressources (le cas échéant) associés à l’élément du PCI</w:t>
            </w:r>
          </w:p>
          <w:p w:rsidR="00885D5F" w:rsidRDefault="00DA43C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La non maîtrise des rudiments de la langue mandingue par la jeune génération pose problème quant à la matérialisation et legs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diookaa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885D5F" w:rsidRDefault="0088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473" w:hanging="720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390" w:type="dxa"/>
          </w:tcPr>
          <w:p w:rsidR="00885D5F" w:rsidRDefault="00DA43CF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Viabilité des autres éléments du patrimoine immatériel (le cas échéant) associés à l’élément du PCI</w:t>
            </w:r>
          </w:p>
          <w:p w:rsidR="00885D5F" w:rsidRDefault="00DA43CF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 éléments ci-dessous peuvent toujours être viabilisés :</w:t>
            </w:r>
          </w:p>
          <w:p w:rsidR="00885D5F" w:rsidRDefault="00DA43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Les chants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diookaa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peuvent être interprétés dans d’autres circonstances (orchestration,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slam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, déclamation de poèmes…)</w:t>
            </w:r>
          </w:p>
          <w:p w:rsidR="00885D5F" w:rsidRDefault="00885D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color w:val="00B050"/>
                <w:sz w:val="24"/>
                <w:szCs w:val="24"/>
              </w:rPr>
            </w:pPr>
          </w:p>
          <w:p w:rsidR="00885D5F" w:rsidRDefault="00885D5F">
            <w:pPr>
              <w:ind w:left="113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390" w:type="dxa"/>
          </w:tcPr>
          <w:p w:rsidR="00885D5F" w:rsidRDefault="00DA43CF">
            <w:pPr>
              <w:ind w:left="113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Mesures de sauvegarde ou autres (le cas échéant) adoptées pour faire face à ces menaces et encourager la pratique et la transmission de l’élément du PCI à l’avenir</w:t>
            </w:r>
          </w:p>
          <w:p w:rsidR="00885D5F" w:rsidRDefault="00DA43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Pour une meilleure appropriation et sauvegarde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</w:rPr>
              <w:t>diookaa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</w:rPr>
              <w:t>, les paroles doivent être transcri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>tes, éditées et archivées.</w:t>
            </w:r>
          </w:p>
          <w:p w:rsidR="00885D5F" w:rsidRDefault="00DA43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Les paroles et chants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</w:rPr>
              <w:t>diookaa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doivent être enregistrées et diffusées dans les médias </w:t>
            </w:r>
          </w:p>
          <w:p w:rsidR="00885D5F" w:rsidRDefault="00DA43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57"/>
              <w:rPr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</w:rPr>
              <w:t>diookaa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doit continuer à être  dans la musique moderne comme le font certains musiciens de la place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</w:rPr>
              <w:t>Baaduwaa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</w:rPr>
              <w:t>Ucas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</w:rPr>
              <w:t>…)</w:t>
            </w:r>
          </w:p>
          <w:p w:rsidR="00885D5F" w:rsidRDefault="00DA43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</w:rPr>
              <w:t>diookaa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doit s’adapter aux espaces et se muer en ‘’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</w:rPr>
              <w:t>waakhoo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</w:rPr>
              <w:t>’’ (poèmes dans les luttes traditionnelles).</w:t>
            </w:r>
          </w:p>
          <w:p w:rsidR="00885D5F" w:rsidRDefault="0088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473" w:right="57" w:hanging="720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390" w:type="dxa"/>
          </w:tcPr>
          <w:p w:rsidR="00885D5F" w:rsidRDefault="00DA43CF">
            <w:pPr>
              <w:spacing w:before="80" w:after="80"/>
              <w:ind w:left="113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ACCES RESTREINT AUX DONNEES ET AUTORISATIONS</w:t>
            </w: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48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390" w:type="dxa"/>
          </w:tcPr>
          <w:p w:rsidR="00885D5F" w:rsidRDefault="00DA43CF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Consentement et participation de la (des) communauté(s) concernée(s) au recueil des données</w:t>
            </w:r>
          </w:p>
          <w:p w:rsidR="00885D5F" w:rsidRDefault="00DA43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Oui car la démarche a consisté à une sensibilisation de la communauté sur le but visé par l’inventaire qui est de trouver ensemble les voies et moyens de sauvegarder 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diookaa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48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390" w:type="dxa"/>
          </w:tcPr>
          <w:p w:rsidR="00885D5F" w:rsidRDefault="00DA43CF">
            <w:pPr>
              <w:ind w:left="113"/>
              <w:rPr>
                <w:rFonts w:ascii="Times New Roman" w:eastAsia="Times New Roman" w:hAnsi="Times New Roman" w:cs="Times New Roman"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Restrictions et autorisations concernant les données</w:t>
            </w:r>
          </w:p>
          <w:p w:rsidR="00885D5F" w:rsidRDefault="00DA43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Non, aucune restriction ni autorisation préalable n’a été demandée par la communauté car le but visé par cet inventaire a été largement partagé est validé d’un commun accord. </w:t>
            </w: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48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8390" w:type="dxa"/>
          </w:tcPr>
          <w:p w:rsidR="00885D5F" w:rsidRDefault="00DA43CF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Personne(s) ressource(s) : nom et statut </w:t>
            </w:r>
          </w:p>
          <w:p w:rsidR="00885D5F" w:rsidRDefault="00DA43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smallCaps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Karamo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CISSE, parolier et facilitateur en alphabétisation en langue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mandinka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885D5F" w:rsidRDefault="00DA43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Sancoung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Sagna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, enseignant, Maire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Oudoucar</w:t>
            </w:r>
            <w:proofErr w:type="spellEnd"/>
          </w:p>
          <w:p w:rsidR="00885D5F" w:rsidRDefault="00DA43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smallCaps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Kéba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Faty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dit Vieux, journaliste, écrivain-chercheur, superviseur en alphabétisation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sédhiou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885D5F" w:rsidRDefault="00885D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538135"/>
                <w:sz w:val="24"/>
                <w:szCs w:val="24"/>
              </w:rPr>
            </w:pP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48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390" w:type="dxa"/>
          </w:tcPr>
          <w:p w:rsidR="00885D5F" w:rsidRDefault="00DA43CF">
            <w:pPr>
              <w:spacing w:before="80" w:after="480"/>
              <w:ind w:left="113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Date(s) et lieu(x) de recuei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 des données</w:t>
            </w:r>
          </w:p>
          <w:p w:rsidR="00885D5F" w:rsidRDefault="00DA43CF">
            <w:pPr>
              <w:spacing w:before="80" w:after="480"/>
              <w:ind w:left="113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21 AVRIL 2019 à 10h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Manconomba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390" w:type="dxa"/>
          </w:tcPr>
          <w:p w:rsidR="00885D5F" w:rsidRDefault="00DA43CF">
            <w:pPr>
              <w:spacing w:before="80" w:after="80"/>
              <w:ind w:left="113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RÉFÉRENCES RELATIVES À L’ÉLÉMENT DU PCI (LE CAS ÉCHÉANT)</w:t>
            </w: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390" w:type="dxa"/>
          </w:tcPr>
          <w:p w:rsidR="00885D5F" w:rsidRDefault="00DA43CF">
            <w:pPr>
              <w:spacing w:before="80" w:after="96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Monographies / Manuscrits conservés dans des bibliothèques, librairies ou détenus par des particuliers</w:t>
            </w: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390" w:type="dxa"/>
          </w:tcPr>
          <w:p w:rsidR="00885D5F" w:rsidRDefault="00DA43CF">
            <w:pPr>
              <w:spacing w:before="80" w:after="96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Enregistrements audiovisuels conservés dans des archives, musées et collections privées (le cas échéant)</w:t>
            </w:r>
          </w:p>
          <w:p w:rsidR="00885D5F" w:rsidRDefault="00DA43CF">
            <w:pPr>
              <w:spacing w:before="80" w:after="960"/>
              <w:ind w:left="113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Enregistrements vidéo et audio disponibles au centre culturel </w:t>
            </w: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390" w:type="dxa"/>
          </w:tcPr>
          <w:p w:rsidR="00885D5F" w:rsidRDefault="00DA43CF">
            <w:pPr>
              <w:spacing w:before="80" w:after="960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Objets conservés dans des archives, musées et collections privées (le cas échéant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390" w:type="dxa"/>
          </w:tcPr>
          <w:p w:rsidR="00885D5F" w:rsidRDefault="00DA43CF">
            <w:pPr>
              <w:spacing w:before="80" w:after="80"/>
              <w:ind w:left="113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DONNÉES D’INVENTAIRE</w:t>
            </w: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48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390" w:type="dxa"/>
          </w:tcPr>
          <w:p w:rsidR="00885D5F" w:rsidRDefault="00DA43CF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 et contacts de la personne(s) ayant compilé les données de l’inventaire</w:t>
            </w:r>
          </w:p>
          <w:p w:rsidR="00885D5F" w:rsidRDefault="00DA43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Ibrahima NDIAYE  77 626 58 02</w:t>
            </w:r>
          </w:p>
          <w:p w:rsidR="00885D5F" w:rsidRDefault="00DA43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Sanou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Konaté  77 616 45 80</w:t>
            </w:r>
          </w:p>
          <w:p w:rsidR="00885D5F" w:rsidRDefault="00DA43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Mamady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DABO   77 706 40 19</w:t>
            </w:r>
          </w:p>
          <w:p w:rsidR="00885D5F" w:rsidRDefault="00DA43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53813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AliouKéba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BADIANE  77 318 17 17</w:t>
            </w: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390" w:type="dxa"/>
          </w:tcPr>
          <w:p w:rsidR="00885D5F" w:rsidRDefault="00DA43CF">
            <w:pPr>
              <w:spacing w:before="80" w:after="480"/>
              <w:ind w:left="113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Preuve du consentement de la (des) communauté(s) concernée(s) : (a) pour l’inventaire de l’élément et (b) pour l’information à inclure dans l’inventaire </w:t>
            </w:r>
          </w:p>
          <w:p w:rsidR="00885D5F" w:rsidRDefault="00DA43CF">
            <w:pPr>
              <w:spacing w:before="80" w:after="480"/>
              <w:ind w:left="113" w:right="57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Nous avons différents supports (photos, audio, vidéos) qui prouvent le consentement de la communauté.</w:t>
            </w:r>
          </w:p>
          <w:p w:rsidR="00885D5F" w:rsidRDefault="0088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80" w:after="480"/>
              <w:ind w:left="833" w:right="57" w:hanging="720"/>
              <w:jc w:val="both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</w:p>
        </w:tc>
      </w:tr>
      <w:tr w:rsidR="00885D5F">
        <w:tc>
          <w:tcPr>
            <w:tcW w:w="672" w:type="dxa"/>
          </w:tcPr>
          <w:p w:rsidR="00885D5F" w:rsidRDefault="00DA43CF">
            <w:pPr>
              <w:spacing w:before="80" w:after="480"/>
              <w:jc w:val="right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8390" w:type="dxa"/>
          </w:tcPr>
          <w:p w:rsidR="00885D5F" w:rsidRDefault="00DA43CF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d’enregistrement des données à l’inventaire</w:t>
            </w:r>
          </w:p>
          <w:p w:rsidR="00885D5F" w:rsidRDefault="00DA43CF">
            <w:pPr>
              <w:ind w:left="113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12 mai 2019</w:t>
            </w:r>
          </w:p>
        </w:tc>
      </w:tr>
    </w:tbl>
    <w:p w:rsidR="00885D5F" w:rsidRDefault="00885D5F">
      <w:pPr>
        <w:rPr>
          <w:rFonts w:ascii="Times New Roman" w:eastAsia="Times New Roman" w:hAnsi="Times New Roman" w:cs="Times New Roman"/>
          <w:color w:val="538135"/>
          <w:sz w:val="24"/>
          <w:szCs w:val="24"/>
        </w:rPr>
      </w:pPr>
    </w:p>
    <w:p w:rsidR="00885D5F" w:rsidRDefault="00885D5F"/>
    <w:sectPr w:rsidR="00885D5F">
      <w:pgSz w:w="11906" w:h="16838"/>
      <w:pgMar w:top="1134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514"/>
    <w:multiLevelType w:val="multilevel"/>
    <w:tmpl w:val="93CC9560"/>
    <w:lvl w:ilvl="0">
      <w:start w:val="1"/>
      <w:numFmt w:val="bullet"/>
      <w:lvlText w:val="⮚"/>
      <w:lvlJc w:val="left"/>
      <w:pPr>
        <w:ind w:left="4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986C88"/>
    <w:multiLevelType w:val="multilevel"/>
    <w:tmpl w:val="D4A67F72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407CF5"/>
    <w:multiLevelType w:val="multilevel"/>
    <w:tmpl w:val="3BA0C6C8"/>
    <w:lvl w:ilvl="0">
      <w:start w:val="1"/>
      <w:numFmt w:val="bullet"/>
      <w:lvlText w:val="⮚"/>
      <w:lvlJc w:val="left"/>
      <w:pPr>
        <w:ind w:left="4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866D21"/>
    <w:multiLevelType w:val="multilevel"/>
    <w:tmpl w:val="9E824D12"/>
    <w:lvl w:ilvl="0">
      <w:start w:val="1"/>
      <w:numFmt w:val="bullet"/>
      <w:lvlText w:val="⮚"/>
      <w:lvlJc w:val="left"/>
      <w:pPr>
        <w:ind w:left="4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630B64"/>
    <w:multiLevelType w:val="multilevel"/>
    <w:tmpl w:val="38F80EC6"/>
    <w:lvl w:ilvl="0">
      <w:start w:val="1"/>
      <w:numFmt w:val="bullet"/>
      <w:lvlText w:val="⮚"/>
      <w:lvlJc w:val="left"/>
      <w:pPr>
        <w:ind w:left="4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7C2986"/>
    <w:multiLevelType w:val="multilevel"/>
    <w:tmpl w:val="7D6E4256"/>
    <w:lvl w:ilvl="0">
      <w:start w:val="1"/>
      <w:numFmt w:val="bullet"/>
      <w:lvlText w:val="⮚"/>
      <w:lvlJc w:val="left"/>
      <w:pPr>
        <w:ind w:left="4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EC5C9B"/>
    <w:multiLevelType w:val="multilevel"/>
    <w:tmpl w:val="BD4239E6"/>
    <w:lvl w:ilvl="0">
      <w:start w:val="1"/>
      <w:numFmt w:val="bullet"/>
      <w:lvlText w:val="⮚"/>
      <w:lvlJc w:val="left"/>
      <w:pPr>
        <w:ind w:left="4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B3178E"/>
    <w:multiLevelType w:val="multilevel"/>
    <w:tmpl w:val="93ACD6D8"/>
    <w:lvl w:ilvl="0">
      <w:start w:val="1"/>
      <w:numFmt w:val="bullet"/>
      <w:lvlText w:val="⮚"/>
      <w:lvlJc w:val="left"/>
      <w:pPr>
        <w:ind w:left="4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FE0CE9"/>
    <w:multiLevelType w:val="multilevel"/>
    <w:tmpl w:val="FE34A624"/>
    <w:lvl w:ilvl="0">
      <w:start w:val="1"/>
      <w:numFmt w:val="bullet"/>
      <w:lvlText w:val="⮚"/>
      <w:lvlJc w:val="left"/>
      <w:pPr>
        <w:ind w:left="4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E4C75C2"/>
    <w:multiLevelType w:val="multilevel"/>
    <w:tmpl w:val="C0982406"/>
    <w:lvl w:ilvl="0">
      <w:start w:val="1"/>
      <w:numFmt w:val="bullet"/>
      <w:lvlText w:val="⮚"/>
      <w:lvlJc w:val="left"/>
      <w:pPr>
        <w:ind w:left="4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5F"/>
    <w:rsid w:val="00885D5F"/>
    <w:rsid w:val="00DA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C89BE-F77B-4536-86EC-71774CE2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360" w:after="120" w:line="300" w:lineRule="auto"/>
      <w:outlineLvl w:val="3"/>
    </w:pPr>
    <w:rPr>
      <w:rFonts w:ascii="Arial" w:eastAsia="Arial" w:hAnsi="Arial" w:cs="Arial"/>
      <w:b/>
      <w:smallCaps/>
      <w:sz w:val="20"/>
      <w:szCs w:val="20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1340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2019-05-13T07:58:00Z</dcterms:created>
  <dcterms:modified xsi:type="dcterms:W3CDTF">2019-05-13T07:58:00Z</dcterms:modified>
</cp:coreProperties>
</file>