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Pr="009C2888" w:rsidRDefault="00F355F4" w:rsidP="00D11FA6">
      <w:pPr>
        <w:pStyle w:val="Titre4"/>
        <w:rPr>
          <w:rFonts w:asciiTheme="minorHAnsi" w:eastAsia="Calibri" w:hAnsiTheme="minorHAnsi" w:cstheme="minorHAnsi"/>
          <w:bCs/>
          <w:caps w:val="0"/>
          <w:snapToGrid w:val="0"/>
          <w:color w:val="3366FF"/>
          <w:kern w:val="28"/>
          <w:szCs w:val="20"/>
          <w:lang w:eastAsia="zh-CN"/>
        </w:rPr>
      </w:pPr>
      <w:bookmarkStart w:id="0" w:name="_GoBack"/>
      <w:bookmarkEnd w:id="0"/>
      <w:r w:rsidRPr="009C2888">
        <w:rPr>
          <w:rFonts w:asciiTheme="minorHAnsi" w:eastAsia="Calibri" w:hAnsiTheme="minorHAnsi" w:cstheme="minorHAnsi"/>
          <w:bCs/>
          <w:caps w:val="0"/>
          <w:snapToGrid w:val="0"/>
          <w:color w:val="3366FF"/>
          <w:kern w:val="28"/>
          <w:szCs w:val="20"/>
          <w:lang w:eastAsia="zh-CN"/>
        </w:rPr>
        <w:t>FICHE TYPE D’INVENTAIRE DU PCI</w:t>
      </w:r>
    </w:p>
    <w:p w:rsidR="00F355F4" w:rsidRPr="009C2888" w:rsidRDefault="00F355F4" w:rsidP="00F355F4">
      <w:pPr>
        <w:rPr>
          <w:rFonts w:asciiTheme="minorHAnsi" w:hAnsiTheme="minorHAnsi" w:cstheme="minorHAnsi"/>
          <w:color w:val="FF0000"/>
          <w:sz w:val="20"/>
          <w:szCs w:val="20"/>
          <w:lang w:val="fr-FR"/>
        </w:rPr>
      </w:pPr>
    </w:p>
    <w:p w:rsidR="00F355F4" w:rsidRPr="009C2888" w:rsidRDefault="00F355F4" w:rsidP="00F355F4">
      <w:pPr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  <w:r w:rsidRPr="009C2888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REGION : </w:t>
      </w:r>
      <w:r w:rsidR="00BE1B69" w:rsidRPr="009C2888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MATAM</w:t>
      </w:r>
    </w:p>
    <w:p w:rsidR="00F355F4" w:rsidRPr="009C2888" w:rsidRDefault="00F355F4" w:rsidP="00F355F4">
      <w:pPr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</w:p>
    <w:p w:rsidR="00F355F4" w:rsidRPr="009C2888" w:rsidRDefault="00F355F4" w:rsidP="00F355F4">
      <w:pPr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  <w:r w:rsidRPr="009C2888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DEPARTEMENT :</w:t>
      </w:r>
      <w:r w:rsidR="00BE1B69" w:rsidRPr="009C2888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MATAM</w:t>
      </w:r>
    </w:p>
    <w:p w:rsidR="00C92ED6" w:rsidRPr="009C2888" w:rsidRDefault="00F355F4" w:rsidP="00F355F4">
      <w:pPr>
        <w:pStyle w:val="Titre4"/>
        <w:rPr>
          <w:rFonts w:asciiTheme="minorHAnsi" w:hAnsiTheme="minorHAnsi" w:cstheme="minorHAnsi"/>
          <w:color w:val="FF0000"/>
          <w:szCs w:val="20"/>
        </w:rPr>
      </w:pPr>
      <w:r w:rsidRPr="009C2888">
        <w:rPr>
          <w:rFonts w:asciiTheme="minorHAnsi" w:hAnsiTheme="minorHAnsi" w:cstheme="minorHAnsi"/>
          <w:color w:val="FF0000"/>
          <w:szCs w:val="20"/>
        </w:rPr>
        <w:t>Numero de la fiche :</w:t>
      </w:r>
      <w:r w:rsidR="00BE1B69" w:rsidRPr="009C2888">
        <w:rPr>
          <w:rFonts w:asciiTheme="minorHAnsi" w:hAnsiTheme="minorHAnsi" w:cstheme="minorHAnsi"/>
          <w:snapToGrid w:val="0"/>
          <w:color w:val="FF0000"/>
          <w:szCs w:val="20"/>
        </w:rPr>
        <w:t xml:space="preserve"> SNMT9MTMPCI 02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C92ED6" w:rsidRPr="009C2888" w:rsidTr="00971D6F">
        <w:tc>
          <w:tcPr>
            <w:tcW w:w="567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C92ED6" w:rsidRPr="009C2888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9C2888">
              <w:rPr>
                <w:rFonts w:asciiTheme="minorHAnsi" w:hAnsiTheme="minorHAnsi" w:cstheme="minorHAnsi"/>
                <w:b/>
                <w:caps/>
                <w:snapToGrid w:val="0"/>
                <w:sz w:val="20"/>
                <w:szCs w:val="20"/>
              </w:rPr>
              <w:t>Identification de l’élément du PCI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Nom de l’élément du PCI tel qu’il est employé par la communauté concernée</w:t>
            </w:r>
          </w:p>
          <w:p w:rsidR="003C48EA" w:rsidRPr="00D66905" w:rsidRDefault="003C48EA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Fiiffiré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A06BCB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Titre </w:t>
            </w:r>
            <w:r w:rsidR="00C92ED6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de l’élément du PCI ‒ avec indication du (des) domaine(s) du PCI concerné(s)</w:t>
            </w:r>
          </w:p>
          <w:p w:rsidR="003C48EA" w:rsidRPr="009C2888" w:rsidRDefault="003C48EA" w:rsidP="00D66905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Firfiréé</w:t>
            </w:r>
            <w:r w:rsid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 </w:t>
            </w:r>
            <w:r w:rsidR="00D66905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: </w:t>
            </w:r>
            <w:r w:rsidR="00D66905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Pratiques sociales, rituels et événements festifs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en-GB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en-GB" w:eastAsia="fr-FR"/>
              </w:rPr>
              <w:t>Communauté(s) concernée(s)</w:t>
            </w:r>
          </w:p>
          <w:p w:rsidR="003C48EA" w:rsidRPr="00D66905" w:rsidRDefault="003C48EA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en-GB" w:eastAsia="fr-FR"/>
              </w:rPr>
              <w:t>Soubalbés</w:t>
            </w:r>
            <w:r w:rsidR="00A777A1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en-GB" w:eastAsia="fr-FR"/>
              </w:rPr>
              <w:t xml:space="preserve"> de Matam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Emplacement(s) physique(s)/répartition et fréquence de la pratique de l’élément du PCI</w:t>
            </w:r>
          </w:p>
          <w:p w:rsidR="003C48EA" w:rsidRPr="00D66905" w:rsidRDefault="00D66905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 firfiré est pratiqué à </w:t>
            </w:r>
            <w:r w:rsidR="003C48EA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Lougré bata, koundel, mboulel, fallotoumba </w:t>
            </w:r>
            <w:r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et tout au long des </w:t>
            </w:r>
            <w:r w:rsidR="00E17968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berges</w:t>
            </w:r>
            <w:r w:rsidR="003C48EA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du </w:t>
            </w:r>
            <w:r w:rsidR="00A777A1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fleuve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(</w:t>
            </w:r>
            <w:r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dandémayo)</w:t>
            </w:r>
          </w:p>
        </w:tc>
      </w:tr>
      <w:tr w:rsidR="00C92ED6" w:rsidRPr="009C2888" w:rsidTr="002A61BD">
        <w:trPr>
          <w:trHeight w:val="12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9C2888" w:rsidRDefault="00C92ED6" w:rsidP="003C48EA">
            <w:pPr>
              <w:spacing w:before="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C48EA" w:rsidRPr="009C2888" w:rsidRDefault="00C92ED6" w:rsidP="00D66905">
            <w:pPr>
              <w:spacing w:before="0" w:after="1920" w:line="200" w:lineRule="exact"/>
              <w:ind w:left="113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Brève description de l’élément du PCI (de préférence pas plus de 200 mots</w:t>
            </w:r>
            <w:r w:rsidR="003C48EA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) </w:t>
            </w:r>
            <w:r w:rsidR="002A61BD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</w:t>
            </w:r>
            <w:r w:rsidR="00D66905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</w:t>
            </w:r>
            <w:r w:rsidR="00D66905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</w:t>
            </w:r>
            <w:r w:rsidR="003C48EA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notables soubalbés</w:t>
            </w:r>
            <w:r w:rsid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(</w:t>
            </w:r>
            <w:r w:rsidR="00D66905" w:rsidRPr="00D66905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Jaltabés</w:t>
            </w:r>
            <w:r w:rsid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)</w:t>
            </w:r>
            <w:r w:rsidR="003C48EA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choisissent un lieu sur les berges du fleuve, les femmes s’y rendent la nuit tressés</w:t>
            </w:r>
            <w:r w:rsidR="00E17968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, parés de leurs plus beaux bijoux</w:t>
            </w:r>
            <w:r w:rsidR="003C48EA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et habillés</w:t>
            </w:r>
            <w:r w:rsidR="002A61BD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grands boubous, </w:t>
            </w:r>
            <w:r w:rsidR="00E17968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toute la communautés se donne rendez vous au lieu choisi, </w:t>
            </w:r>
            <w:r w:rsidR="002A61BD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des foyers sont allumés, la veillée se passe autour du feu bercée par les airs de </w:t>
            </w:r>
            <w:r w:rsidR="002A61BD" w:rsidRPr="00D66905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pékane</w:t>
            </w:r>
            <w:r w:rsidR="002A61BD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et le lendemain</w:t>
            </w:r>
            <w:r w:rsidR="00E17968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à l’aube</w:t>
            </w:r>
            <w:r w:rsidR="002A61BD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, la chasse au caïman est ouverte : Les notables soubalbés habillés en rouge</w:t>
            </w:r>
            <w:r w:rsidR="00A777A1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«  jaltabés » </w:t>
            </w:r>
            <w:r w:rsidR="002A61BD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="00D66905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récitent</w:t>
            </w:r>
            <w:r w:rsidR="002A61BD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des incantations pour faire sortir les caïmans du fleuve pour à la fin en capturer un ou plusieurs.</w:t>
            </w:r>
            <w:r w:rsidR="002A61BD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F2F2F2"/>
          </w:tcPr>
          <w:p w:rsidR="00C92ED6" w:rsidRPr="009C2888" w:rsidRDefault="00C92ED6" w:rsidP="003C48EA">
            <w:pPr>
              <w:spacing w:before="0" w:after="80" w:line="20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Caractéristiques de l’élément du PCI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lastRenderedPageBreak/>
              <w:t>2.1.</w:t>
            </w:r>
          </w:p>
        </w:tc>
        <w:tc>
          <w:tcPr>
            <w:tcW w:w="8283" w:type="dxa"/>
            <w:shd w:val="clear" w:color="auto" w:fill="auto"/>
          </w:tcPr>
          <w:p w:rsidR="006A0162" w:rsidRPr="009C2888" w:rsidRDefault="00C92ED6" w:rsidP="005A7FB0">
            <w:pPr>
              <w:spacing w:before="80" w:after="960" w:line="200" w:lineRule="exact"/>
              <w:ind w:left="113" w:righ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Praticien(s)/interprète(s) directement impliqué(s) dans la représentation ou la pratique de l’élément</w:t>
            </w:r>
            <w:r w:rsidR="00E17968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- m</w:t>
            </w: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du PCI (préciser nom, âge, sexe, catégorie professionnelle, etc.)</w:t>
            </w:r>
            <w:r w:rsidR="00E17968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</w:t>
            </w:r>
            <w:r w:rsidR="005A7FB0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Mame sada pithie</w:t>
            </w:r>
            <w:r w:rsidR="006A0162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l 83 ans (pécheur), Meissa ba 79 (pécheur</w:t>
            </w:r>
            <w:r w:rsidR="00AA443F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),</w:t>
            </w:r>
            <w:r w:rsidR="006A0162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Oumar louty </w:t>
            </w:r>
            <w:r w:rsidR="005A7FB0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, Baba bowel </w:t>
            </w:r>
            <w:r w:rsidR="006A0162" w:rsidRPr="00D66905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76 ans pécheur</w:t>
            </w:r>
            <w:r w:rsidR="006A0162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6A0162" w:rsidRPr="009C2888" w:rsidRDefault="00C92ED6" w:rsidP="00342B92">
            <w:pPr>
              <w:spacing w:before="80" w:after="960" w:line="200" w:lineRule="exact"/>
              <w:ind w:left="113" w:righ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  <w:r w:rsidR="006A0162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                                           </w:t>
            </w:r>
            <w:r w:rsidR="006A0162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Tous les membres de la communautés participent de manière indirecte à la pratique du firfiré en étant à la fois les spectateurs mais aussi les </w:t>
            </w:r>
            <w:r w:rsid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témoins des prouesses réalisées.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Langue(s) ou registre(s) de langue utilisée(s)</w:t>
            </w:r>
            <w:r w:rsidR="006A0162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</w:t>
            </w:r>
          </w:p>
          <w:p w:rsidR="006A0162" w:rsidRPr="00342B92" w:rsidRDefault="006A0162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 pulaar </w:t>
            </w:r>
            <w:r w:rsidR="009C2888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du fouta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9C2888" w:rsidRDefault="00C92ED6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  <w:r w:rsidR="006A0162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</w:t>
            </w:r>
          </w:p>
          <w:p w:rsidR="00C92ED6" w:rsidRPr="00342B92" w:rsidRDefault="009C2888" w:rsidP="009C2888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pirogues, les pagaies, les lances 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="006A0162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sont utilisées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nous pouvons également citer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les costumes des pratiquants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en couleur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r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ouge</w:t>
            </w:r>
            <w:r w:rsid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des chefs «</w:t>
            </w:r>
            <w:r w:rsidR="00342B92" w:rsidRP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Jaltabés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»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7148F4" w:rsidRPr="009C2888" w:rsidRDefault="00C92ED6" w:rsidP="009C2888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Autres éléments immatériels (le cas échéant) associés à la pratique ou à la transmission de l’élément du PCI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                                                                           </w:t>
            </w:r>
            <w:r w:rsidR="009C2888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Les éléments associés à la pr</w:t>
            </w:r>
            <w:r w:rsid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atique sont : Les incantations « </w:t>
            </w:r>
            <w:r w:rsidR="00342B92" w:rsidRP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Ceefi</w:t>
            </w:r>
            <w:r w:rsid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 » et les chants </w:t>
            </w:r>
            <w:r w:rsidR="009C2888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« </w:t>
            </w:r>
            <w:r w:rsidR="009C2888" w:rsidRP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Pékane</w:t>
            </w:r>
            <w:r w:rsidR="009C2888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 »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9C2888" w:rsidRDefault="00C92ED6" w:rsidP="009C2888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Pratiques coutumières (le cas échéant) régissant l’accès à l’élément du PCI ou à certains de ses aspects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</w:t>
            </w:r>
          </w:p>
          <w:p w:rsidR="009C2888" w:rsidRPr="00342B92" w:rsidRDefault="009C2888" w:rsidP="009C2888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La veille du firfiré </w:t>
            </w:r>
            <w:r w:rsidR="001E36DC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la préparation mystique  est effectuée par les « Jaltabés » (</w:t>
            </w:r>
            <w:r w:rsidR="00342B92" w:rsidRP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m</w:t>
            </w:r>
            <w:r w:rsid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a</w:t>
            </w:r>
            <w:r w:rsidR="00342B92" w:rsidRP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>îtres</w:t>
            </w:r>
            <w:r w:rsidR="001E36DC" w:rsidRPr="00342B92">
              <w:rPr>
                <w:rFonts w:asciiTheme="minorHAnsi" w:hAnsiTheme="minorHAnsi" w:cstheme="minorHAnsi"/>
                <w:b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l’eau</w:t>
            </w:r>
            <w:r w:rsidR="001E36DC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) pour identifier le bon endroit, localiser les caïmans et les fixer sur place.</w:t>
            </w:r>
          </w:p>
          <w:p w:rsidR="007148F4" w:rsidRPr="009C2888" w:rsidRDefault="007148F4" w:rsidP="009C2888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lastRenderedPageBreak/>
              <w:t>2.7.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Modes de transmission aux autres membres de la communauté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L’oralité et </w:t>
            </w:r>
            <w:r w:rsidR="001E36DC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incitation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pour les hommes   </w:t>
            </w:r>
            <w:r w:rsidR="001E36DC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sont utilisés pour transmettre l’élément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</w:t>
            </w:r>
          </w:p>
        </w:tc>
      </w:tr>
      <w:tr w:rsidR="00C92ED6" w:rsidRPr="009C2888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Organisations concernées (organisations communautaires, ONG ou autres, le cas échéant)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</w:t>
            </w:r>
          </w:p>
          <w:p w:rsidR="001E36DC" w:rsidRPr="00342B92" w:rsidRDefault="00342B92" w:rsidP="001E36DC">
            <w:pPr>
              <w:pStyle w:val="Paragraphedeliste"/>
              <w:numPr>
                <w:ilvl w:val="0"/>
                <w:numId w:val="24"/>
              </w:numPr>
              <w:spacing w:before="80" w:after="960" w:line="200" w:lineRule="exact"/>
              <w:jc w:val="left"/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Association des </w:t>
            </w:r>
            <w:r w:rsidR="001E36DC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usagers du fleuve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Matam</w:t>
            </w:r>
          </w:p>
          <w:p w:rsidR="001E36DC" w:rsidRPr="00342B92" w:rsidRDefault="001E36DC" w:rsidP="001E36DC">
            <w:pPr>
              <w:pStyle w:val="Paragraphedeliste"/>
              <w:numPr>
                <w:ilvl w:val="0"/>
                <w:numId w:val="24"/>
              </w:numPr>
              <w:spacing w:before="80" w:after="960" w:line="200" w:lineRule="exact"/>
              <w:jc w:val="left"/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Regroupement </w:t>
            </w:r>
            <w:r w:rsid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« 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Marieta jeymayo</w:t>
            </w:r>
            <w:r w:rsid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 »</w:t>
            </w:r>
          </w:p>
          <w:p w:rsidR="007148F4" w:rsidRPr="009C2888" w:rsidRDefault="007148F4" w:rsidP="007148F4">
            <w:pPr>
              <w:spacing w:before="80" w:after="960" w:line="200" w:lineRule="exact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9C2888" w:rsidTr="00971D6F">
        <w:tc>
          <w:tcPr>
            <w:tcW w:w="567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1E36DC" w:rsidRDefault="00C92ED6" w:rsidP="00DF37CA">
            <w:pPr>
              <w:spacing w:before="80" w:after="960" w:line="200" w:lineRule="exact"/>
              <w:ind w:left="113" w:right="57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Menaces éventuelles sur la pratique permanente de l’élément dans la (les) communauté(s) concernée(s)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                                                            </w:t>
            </w:r>
          </w:p>
          <w:p w:rsidR="00C92ED6" w:rsidRPr="00342B92" w:rsidRDefault="001E36DC" w:rsidP="001E36DC">
            <w:pPr>
              <w:spacing w:before="80" w:after="960" w:line="200" w:lineRule="exact"/>
              <w:ind w:left="113" w:right="57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menaces </w:t>
            </w:r>
            <w:r w:rsidR="00741F5A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sont l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a rareté des caïmans du à la présence 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des barrages, 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la présence des pirogues à moteurs et le 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désintéressement des plus jeunes. 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741F5A" w:rsidRDefault="00C92ED6" w:rsidP="00741F5A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Menaces éventuelles sur la transmission de l’élément dans la (les) communauté(s) concernée(s)</w:t>
            </w:r>
            <w:r w:rsidR="007148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  <w:p w:rsidR="007148F4" w:rsidRPr="00342B92" w:rsidRDefault="00741F5A" w:rsidP="00741F5A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L’absence d’un cadre formel dédié à la transmission, la rareté des </w:t>
            </w:r>
            <w:r w:rsidR="00822367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caïmans.</w:t>
            </w:r>
            <w:r w:rsidR="007148F4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  </w:t>
            </w:r>
          </w:p>
          <w:p w:rsidR="00741F5A" w:rsidRPr="009C2888" w:rsidRDefault="00741F5A" w:rsidP="00741F5A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lastRenderedPageBreak/>
              <w:t>3.3.</w:t>
            </w:r>
          </w:p>
        </w:tc>
        <w:tc>
          <w:tcPr>
            <w:tcW w:w="8283" w:type="dxa"/>
            <w:shd w:val="clear" w:color="auto" w:fill="auto"/>
          </w:tcPr>
          <w:p w:rsidR="00822367" w:rsidRDefault="00C92ED6" w:rsidP="00DF37CA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Menaces pesant sur un accès durable aux éléments matériels et aux ressources (le cas échéant) associés à l’élément du PCI</w:t>
            </w:r>
            <w:r w:rsidR="00DF37CA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                                                                                                           </w:t>
            </w:r>
          </w:p>
          <w:p w:rsidR="00822367" w:rsidRPr="00342B92" w:rsidRDefault="00822367" w:rsidP="00DF37CA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menaces sont : la </w:t>
            </w:r>
            <w:r w:rsidR="00DF37CA"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baisse du niveau du fleuve</w:t>
            </w: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, la dégradation de l’environnement, réchauffement</w:t>
            </w:r>
          </w:p>
          <w:p w:rsidR="00DF37CA" w:rsidRPr="009C2888" w:rsidRDefault="00822367" w:rsidP="00DF37CA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342B92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climatique</w:t>
            </w:r>
            <w:r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Viabilité des autres éléments du patrimoine immatériel (le cas échéant) associés à l’élément du PCI</w:t>
            </w:r>
          </w:p>
        </w:tc>
      </w:tr>
      <w:tr w:rsidR="00C92ED6" w:rsidRPr="009C2888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822367" w:rsidRDefault="00C92ED6" w:rsidP="00822367">
            <w:pPr>
              <w:spacing w:before="80" w:after="960" w:line="200" w:lineRule="exact"/>
              <w:ind w:left="113" w:right="57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Mesures de sauvegarde ou autres (le cas échéant) adoptées pour faire face à ces menaces et</w:t>
            </w:r>
            <w:r w:rsidR="00342B92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822367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encourager la pratique et la transmission de l’</w:t>
            </w:r>
            <w:r w:rsidR="00342B92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élément</w:t>
            </w:r>
            <w:r w:rsidR="00822367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du PCI à l’avenir</w:t>
            </w:r>
          </w:p>
          <w:p w:rsidR="00C92ED6" w:rsidRPr="008B309F" w:rsidRDefault="008B309F" w:rsidP="008B309F">
            <w:pPr>
              <w:spacing w:before="80" w:after="960" w:line="200" w:lineRule="exact"/>
              <w:ind w:left="113" w:right="57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I</w:t>
            </w:r>
            <w:r w:rsidR="00822367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l serait pertinent d’</w:t>
            </w:r>
            <w:r w:rsidR="00C92ED6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encourager la pratique l’élément du PCI à l’avenir</w:t>
            </w:r>
            <w:r w:rsidR="00DF37CA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 </w:t>
            </w:r>
            <w:r w:rsidR="00822367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à travers l’initiation </w:t>
            </w:r>
            <w:r w:rsidR="00DF37CA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des jeunes dans </w:t>
            </w:r>
            <w:r w:rsidR="00822367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la communauté concernée,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l’</w:t>
            </w:r>
            <w:r w:rsidR="00822367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organisation de</w:t>
            </w:r>
            <w:r w:rsidR="00DF37CA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Festivals </w:t>
            </w:r>
            <w:r w:rsidR="00822367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et l’aménagement d’un espace de conservation.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C92ED6" w:rsidRPr="009C2888" w:rsidRDefault="00F25AE7" w:rsidP="00F25AE7">
            <w:pPr>
              <w:spacing w:before="80" w:after="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ACCES RESTREINT AUX DONNEES ET AUTORISATIONS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</w:p>
          <w:p w:rsidR="00A00A7F" w:rsidRPr="008B309F" w:rsidRDefault="00A00A7F" w:rsidP="00A00A7F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 consentement de la communauté à été recueilli par enregistrement audio en présence des notables dépositaires de l’élément qui ont exprimés </w:t>
            </w:r>
            <w:r w:rsid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leur engagement par la voie de M</w:t>
            </w: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amadou Omar ba 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Restrictions et autorisations concernant les données</w:t>
            </w:r>
          </w:p>
          <w:p w:rsidR="00A00A7F" w:rsidRPr="008B309F" w:rsidRDefault="00A00A7F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Aucune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172A30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Personne(s) ressource(s) : nom et statut </w:t>
            </w:r>
          </w:p>
          <w:p w:rsidR="00DF37CA" w:rsidRPr="008B309F" w:rsidRDefault="00DF37CA" w:rsidP="00172A30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Mamadou omar  ba, Notable</w:t>
            </w:r>
          </w:p>
        </w:tc>
      </w:tr>
      <w:tr w:rsidR="00C92ED6" w:rsidRPr="009C2888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Date(s) et lieu(x) de recueil des données</w:t>
            </w:r>
          </w:p>
          <w:p w:rsidR="00DF37CA" w:rsidRPr="008B309F" w:rsidRDefault="00DF37CA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lastRenderedPageBreak/>
              <w:t xml:space="preserve">02 avril 2019 au quartier soubalo de Matam </w:t>
            </w:r>
          </w:p>
          <w:p w:rsidR="00DF37CA" w:rsidRPr="009C2888" w:rsidRDefault="00DF37CA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9C2888" w:rsidTr="00971D6F">
        <w:tc>
          <w:tcPr>
            <w:tcW w:w="567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  <w:lastRenderedPageBreak/>
              <w:t>5.</w:t>
            </w:r>
          </w:p>
        </w:tc>
        <w:tc>
          <w:tcPr>
            <w:tcW w:w="8283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C92ED6" w:rsidRDefault="00172A30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Monographies / Manuscrits</w:t>
            </w:r>
            <w:r w:rsidR="00A16589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conservés dans des bibliothèques, librairies ou détenus par des particuliers</w:t>
            </w:r>
          </w:p>
          <w:p w:rsidR="00A00A7F" w:rsidRPr="008B309F" w:rsidRDefault="00A00A7F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cf. archives nationale du Sénégal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C92ED6" w:rsidRDefault="00A16589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Enregistrements</w:t>
            </w:r>
            <w:r w:rsidR="00C92ED6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audiovisuel</w:t>
            </w: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s</w:t>
            </w:r>
            <w:r w:rsidR="00C92ED6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conservés dans des archives, musées et collections privées (le cas échéant)</w:t>
            </w:r>
          </w:p>
          <w:p w:rsidR="008B309F" w:rsidRPr="008B309F" w:rsidRDefault="008B309F" w:rsidP="00C92ED6">
            <w:pPr>
              <w:spacing w:before="80" w:after="96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Des films privés sont disponible avec l’association des usagers du fleuve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96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C92ED6" w:rsidRDefault="00A16589" w:rsidP="00A16589">
            <w:pPr>
              <w:spacing w:before="80" w:after="960" w:line="200" w:lineRule="exact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O</w:t>
            </w:r>
            <w:r w:rsidR="00C92ED6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bjets conservés dans des archives, musées et collections privées (le cas échéant)</w:t>
            </w:r>
          </w:p>
          <w:p w:rsidR="00A00A7F" w:rsidRPr="008B309F" w:rsidRDefault="00A00A7F" w:rsidP="00A16589">
            <w:pPr>
              <w:spacing w:before="80" w:after="960" w:line="200" w:lineRule="exact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Des objets sont présents dans la communauté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sz w:val="20"/>
                <w:szCs w:val="20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C92ED6" w:rsidRPr="009C2888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b/>
                <w:bCs/>
                <w:caps/>
                <w:snapToGrid/>
                <w:sz w:val="20"/>
                <w:szCs w:val="20"/>
                <w:lang w:val="en-GB" w:eastAsia="fr-FR"/>
              </w:rPr>
              <w:t>Données d’inventaire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Nom </w:t>
            </w:r>
            <w:r w:rsidR="00F355F4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et contacts </w:t>
            </w: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de la pe</w:t>
            </w:r>
            <w:r w:rsidR="00172A30"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rsonne(s) ayant compilé les données</w:t>
            </w: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 xml:space="preserve"> de l’inventaire</w:t>
            </w:r>
          </w:p>
          <w:p w:rsidR="008B309F" w:rsidRPr="009C2888" w:rsidRDefault="008B309F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Mamadou omar  ba, Notable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+ 221 775346618</w:t>
            </w:r>
          </w:p>
          <w:p w:rsidR="008B309F" w:rsidRPr="003D0224" w:rsidRDefault="008B309F" w:rsidP="008B309F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Samba mbodj directeur du cedeps de Matam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77 5 41 86 14</w:t>
            </w:r>
          </w:p>
          <w:p w:rsidR="008B309F" w:rsidRPr="003D0224" w:rsidRDefault="008B309F" w:rsidP="008B309F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Mamadou diallo directeur du cedeps de ranérou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70 106 25 19</w:t>
            </w:r>
          </w:p>
          <w:p w:rsidR="008B309F" w:rsidRPr="003D0224" w:rsidRDefault="008B309F" w:rsidP="008B309F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alpha ba bureau parteneuriat IA matam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77 542 03 20</w:t>
            </w:r>
          </w:p>
          <w:p w:rsidR="008B309F" w:rsidRPr="003D0224" w:rsidRDefault="008B309F" w:rsidP="008B309F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Monsieur Amadou mamadou diaw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agent du CCR de Matam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77 948 83 81</w:t>
            </w:r>
          </w:p>
          <w:p w:rsidR="008B309F" w:rsidRPr="003D0224" w:rsidRDefault="008B309F" w:rsidP="008B309F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lastRenderedPageBreak/>
              <w:t xml:space="preserve">Monsieur Cheikh ndiaye 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Directeur du Centre culturel régional de Matam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77 552 06 28</w:t>
            </w:r>
          </w:p>
          <w:p w:rsidR="00DF37CA" w:rsidRPr="009C2888" w:rsidRDefault="00DF37CA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lastRenderedPageBreak/>
              <w:t>6.2.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 w:right="57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AA443F" w:rsidRPr="009C2888" w:rsidRDefault="008B309F" w:rsidP="00C92ED6">
            <w:pPr>
              <w:spacing w:before="80" w:after="480" w:line="200" w:lineRule="exact"/>
              <w:ind w:left="113" w:right="57"/>
              <w:jc w:val="lef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Les </w:t>
            </w:r>
            <w:r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Enregistrement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</w:t>
            </w:r>
            <w:r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audio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sont</w:t>
            </w:r>
            <w:r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disponibles au centre culturel régional de Matam et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sont </w:t>
            </w:r>
            <w:r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transmise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 </w:t>
            </w:r>
            <w:r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à la Direction du patrimoine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culturel</w:t>
            </w:r>
            <w:r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.</w:t>
            </w:r>
          </w:p>
        </w:tc>
      </w:tr>
      <w:tr w:rsidR="00C92ED6" w:rsidRPr="009C2888" w:rsidTr="00971D6F">
        <w:tc>
          <w:tcPr>
            <w:tcW w:w="567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jc w:val="right"/>
              <w:rPr>
                <w:rFonts w:asciiTheme="minorHAnsi" w:hAnsiTheme="minorHAnsi" w:cstheme="minorHAnsi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z w:val="20"/>
                <w:szCs w:val="20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C92ED6" w:rsidRPr="009C2888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9C2888"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  <w:t>Date d’enregistrement des données à l’inventaire</w:t>
            </w:r>
          </w:p>
          <w:p w:rsidR="00AA443F" w:rsidRPr="008B309F" w:rsidRDefault="00BA6E22" w:rsidP="00C92ED6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28"/>
                <w:sz w:val="20"/>
                <w:szCs w:val="20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02 /05</w:t>
            </w:r>
            <w:r w:rsidR="00AA443F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/2019</w:t>
            </w:r>
          </w:p>
        </w:tc>
      </w:tr>
    </w:tbl>
    <w:p w:rsidR="0043665E" w:rsidRPr="009C2888" w:rsidRDefault="0043665E" w:rsidP="00F631BE">
      <w:pPr>
        <w:pStyle w:val="Texte1"/>
        <w:rPr>
          <w:rFonts w:asciiTheme="minorHAnsi" w:hAnsiTheme="minorHAnsi" w:cstheme="minorHAnsi"/>
          <w:szCs w:val="20"/>
        </w:rPr>
      </w:pPr>
    </w:p>
    <w:sectPr w:rsidR="0043665E" w:rsidRPr="009C2888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C2" w:rsidRDefault="004204C2" w:rsidP="0043665E">
      <w:pPr>
        <w:spacing w:before="0" w:after="0"/>
      </w:pPr>
      <w:r>
        <w:separator/>
      </w:r>
    </w:p>
  </w:endnote>
  <w:endnote w:type="continuationSeparator" w:id="0">
    <w:p w:rsidR="004204C2" w:rsidRDefault="004204C2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C2" w:rsidRDefault="004204C2" w:rsidP="0043665E">
      <w:pPr>
        <w:spacing w:before="0" w:after="0"/>
      </w:pPr>
      <w:r>
        <w:separator/>
      </w:r>
    </w:p>
  </w:footnote>
  <w:footnote w:type="continuationSeparator" w:id="0">
    <w:p w:rsidR="004204C2" w:rsidRDefault="004204C2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980519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980519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56AD4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980519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980519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980519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56AD4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980519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27969BC"/>
    <w:multiLevelType w:val="hybridMultilevel"/>
    <w:tmpl w:val="EACC57B2"/>
    <w:lvl w:ilvl="0" w:tplc="980A5A56">
      <w:start w:val="2"/>
      <w:numFmt w:val="bullet"/>
      <w:lvlText w:val="-"/>
      <w:lvlJc w:val="left"/>
      <w:pPr>
        <w:ind w:left="473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16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18"/>
  </w:num>
  <w:num w:numId="22">
    <w:abstractNumId w:val="4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428E3"/>
    <w:rsid w:val="00050C47"/>
    <w:rsid w:val="000769D3"/>
    <w:rsid w:val="00092DB4"/>
    <w:rsid w:val="00172A30"/>
    <w:rsid w:val="00182DE5"/>
    <w:rsid w:val="00184690"/>
    <w:rsid w:val="001E36DC"/>
    <w:rsid w:val="0026188F"/>
    <w:rsid w:val="00284583"/>
    <w:rsid w:val="002A61BD"/>
    <w:rsid w:val="003342CA"/>
    <w:rsid w:val="00342B92"/>
    <w:rsid w:val="00342E35"/>
    <w:rsid w:val="003C48EA"/>
    <w:rsid w:val="003F298E"/>
    <w:rsid w:val="004204C2"/>
    <w:rsid w:val="0043665E"/>
    <w:rsid w:val="00490480"/>
    <w:rsid w:val="005273C3"/>
    <w:rsid w:val="005732C3"/>
    <w:rsid w:val="005A7FB0"/>
    <w:rsid w:val="005D395D"/>
    <w:rsid w:val="0060566B"/>
    <w:rsid w:val="00660044"/>
    <w:rsid w:val="00670B71"/>
    <w:rsid w:val="00682366"/>
    <w:rsid w:val="006942BD"/>
    <w:rsid w:val="006A0162"/>
    <w:rsid w:val="007148F4"/>
    <w:rsid w:val="007254B2"/>
    <w:rsid w:val="00741F5A"/>
    <w:rsid w:val="00782E2F"/>
    <w:rsid w:val="007D3D1C"/>
    <w:rsid w:val="007D66AD"/>
    <w:rsid w:val="00822367"/>
    <w:rsid w:val="008353EF"/>
    <w:rsid w:val="0086313E"/>
    <w:rsid w:val="00880E45"/>
    <w:rsid w:val="008B309F"/>
    <w:rsid w:val="008D718D"/>
    <w:rsid w:val="00904171"/>
    <w:rsid w:val="00972F71"/>
    <w:rsid w:val="00980519"/>
    <w:rsid w:val="0099595A"/>
    <w:rsid w:val="009B4E97"/>
    <w:rsid w:val="009C2888"/>
    <w:rsid w:val="00A00A7F"/>
    <w:rsid w:val="00A06BCB"/>
    <w:rsid w:val="00A16589"/>
    <w:rsid w:val="00A57FDF"/>
    <w:rsid w:val="00A777A1"/>
    <w:rsid w:val="00AA443F"/>
    <w:rsid w:val="00AD7E0D"/>
    <w:rsid w:val="00B45F43"/>
    <w:rsid w:val="00BA6E22"/>
    <w:rsid w:val="00BC79D7"/>
    <w:rsid w:val="00BE1B69"/>
    <w:rsid w:val="00C13746"/>
    <w:rsid w:val="00C17481"/>
    <w:rsid w:val="00C203FD"/>
    <w:rsid w:val="00C5014F"/>
    <w:rsid w:val="00C56AD4"/>
    <w:rsid w:val="00C92ED6"/>
    <w:rsid w:val="00D11FA6"/>
    <w:rsid w:val="00D66905"/>
    <w:rsid w:val="00DF37CA"/>
    <w:rsid w:val="00E17968"/>
    <w:rsid w:val="00E90E4D"/>
    <w:rsid w:val="00E948A2"/>
    <w:rsid w:val="00EA348C"/>
    <w:rsid w:val="00ED7DDD"/>
    <w:rsid w:val="00EE38CE"/>
    <w:rsid w:val="00F25AE7"/>
    <w:rsid w:val="00F355F4"/>
    <w:rsid w:val="00F631BE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C997E1-4F9D-4915-9509-7644AFB2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9917-637A-40C6-8FAD-B172EDCC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cp:lastPrinted>2019-05-23T13:15:00Z</cp:lastPrinted>
  <dcterms:created xsi:type="dcterms:W3CDTF">2019-05-24T15:00:00Z</dcterms:created>
  <dcterms:modified xsi:type="dcterms:W3CDTF">2019-05-24T15:00:00Z</dcterms:modified>
</cp:coreProperties>
</file>