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11" w:rsidRDefault="003C3611" w:rsidP="003C3611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3C3611" w:rsidRDefault="003C3611" w:rsidP="003C3611">
      <w:pPr>
        <w:rPr>
          <w:lang w:val="fr-FR"/>
        </w:rPr>
      </w:pPr>
    </w:p>
    <w:p w:rsidR="003C3611" w:rsidRDefault="003C3611" w:rsidP="003C3611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>
        <w:rPr>
          <w:b/>
          <w:lang w:val="fr-FR"/>
        </w:rPr>
        <w:t>Kaffrine</w:t>
      </w:r>
    </w:p>
    <w:p w:rsidR="003C3611" w:rsidRDefault="003C3611" w:rsidP="003C3611">
      <w:pPr>
        <w:rPr>
          <w:b/>
          <w:lang w:val="fr-FR"/>
        </w:rPr>
      </w:pPr>
    </w:p>
    <w:p w:rsidR="003C3611" w:rsidRPr="00F355F4" w:rsidRDefault="003C3611" w:rsidP="003C3611">
      <w:pPr>
        <w:rPr>
          <w:b/>
          <w:lang w:val="fr-FR"/>
        </w:rPr>
      </w:pPr>
      <w:r>
        <w:rPr>
          <w:b/>
          <w:lang w:val="fr-FR"/>
        </w:rPr>
        <w:t>DEPARTEMENT : Kaffrine</w:t>
      </w:r>
    </w:p>
    <w:p w:rsidR="003C3611" w:rsidRDefault="003C3611" w:rsidP="003C3611">
      <w:pPr>
        <w:pStyle w:val="Titre4"/>
      </w:pPr>
      <w:r>
        <w:t>Numero de la fiche : 03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3C3611" w:rsidRPr="00A60B52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3C3611" w:rsidRPr="007254B2" w:rsidRDefault="003C3611" w:rsidP="00F46B8B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3C3611" w:rsidRPr="003C3611" w:rsidRDefault="003C3611" w:rsidP="003C3611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proofErr w:type="spellStart"/>
            <w:r w:rsidRPr="008F641F">
              <w:rPr>
                <w:b/>
                <w:snapToGrid/>
                <w:sz w:val="18"/>
                <w:szCs w:val="18"/>
                <w:lang w:val="fr-FR" w:eastAsia="fr-FR"/>
              </w:rPr>
              <w:t>Kouyou</w:t>
            </w:r>
            <w:proofErr w:type="spellEnd"/>
            <w:r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8F641F">
              <w:rPr>
                <w:b/>
                <w:snapToGrid/>
                <w:sz w:val="18"/>
                <w:szCs w:val="18"/>
                <w:lang w:val="fr-FR" w:eastAsia="fr-FR"/>
              </w:rPr>
              <w:t>Djalba</w:t>
            </w:r>
            <w:proofErr w:type="spellEnd"/>
            <w:r w:rsidR="008F641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(Intronisation </w:t>
            </w:r>
            <w:proofErr w:type="spellStart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82356" w:rsidRDefault="003C3611" w:rsidP="00F46B8B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  <w:r>
              <w:rPr>
                <w:snapToGrid/>
                <w:sz w:val="18"/>
                <w:szCs w:val="18"/>
                <w:lang w:val="fr-FR" w:eastAsia="fr-FR"/>
              </w:rPr>
              <w:t> :</w:t>
            </w:r>
          </w:p>
          <w:p w:rsidR="003C3611" w:rsidRPr="00C82356" w:rsidRDefault="00C82356" w:rsidP="00C82356">
            <w:pPr>
              <w:spacing w:before="80" w:after="480" w:line="200" w:lineRule="exact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C82356">
              <w:rPr>
                <w:b/>
                <w:snapToGrid/>
                <w:sz w:val="18"/>
                <w:szCs w:val="18"/>
                <w:lang w:val="fr-FR" w:eastAsia="fr-FR"/>
              </w:rPr>
              <w:t>Traditions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131687" w:rsidRDefault="003C3611" w:rsidP="00F46B8B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03FA5">
              <w:rPr>
                <w:snapToGrid/>
                <w:sz w:val="18"/>
                <w:szCs w:val="18"/>
                <w:lang w:val="fr-FR" w:eastAsia="fr-FR"/>
              </w:rPr>
              <w:t>Communauté(s) concernée(s)</w:t>
            </w:r>
            <w:r w:rsidR="00F03FA5">
              <w:rPr>
                <w:snapToGrid/>
                <w:sz w:val="18"/>
                <w:szCs w:val="18"/>
                <w:lang w:val="fr-FR" w:eastAsia="fr-FR"/>
              </w:rPr>
              <w:t>:</w:t>
            </w:r>
            <w:r w:rsidR="008F641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wolof  </w:t>
            </w:r>
            <w:r w:rsidR="008F641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les </w:t>
            </w:r>
            <w:proofErr w:type="spellStart"/>
            <w:r w:rsidR="008F641F" w:rsidRPr="008F641F">
              <w:rPr>
                <w:b/>
                <w:snapToGrid/>
                <w:sz w:val="18"/>
                <w:szCs w:val="18"/>
                <w:lang w:val="fr-FR" w:eastAsia="fr-FR"/>
              </w:rPr>
              <w:t>Ndaocounda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gram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( Kaffrine</w:t>
            </w:r>
            <w:proofErr w:type="gram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</w:p>
          <w:p w:rsidR="003C3611" w:rsidRPr="00F03FA5" w:rsidRDefault="00833E9E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, 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131687" w:rsidRPr="008F641F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  <w:r w:rsidR="00F03FA5"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13168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la Province du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Ndoucoumane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et ses dépendances :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Boumi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Mandakh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Malem</w:t>
            </w:r>
            <w:proofErr w:type="gram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,Fara</w:t>
            </w:r>
            <w:proofErr w:type="spellEnd"/>
            <w:proofErr w:type="gram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Boulel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Ngagne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Ndothie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Ngagne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Serigne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Hoddar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Serigne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Ndjigui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Coudé,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Wanak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( Chef des esclaves de la Cour),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Teugh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Bathie</w:t>
            </w:r>
            <w:proofErr w:type="spellEnd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131687" w:rsidRPr="008F641F">
              <w:rPr>
                <w:b/>
                <w:snapToGrid/>
                <w:sz w:val="18"/>
                <w:szCs w:val="18"/>
                <w:lang w:val="fr-FR" w:eastAsia="fr-FR"/>
              </w:rPr>
              <w:t>Guewel</w:t>
            </w:r>
            <w:proofErr w:type="spellEnd"/>
          </w:p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3C3611" w:rsidRPr="00A60B52" w:rsidTr="00F46B8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B22D1D" w:rsidRPr="00C92ED6" w:rsidRDefault="003C3611" w:rsidP="00B22D1D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  <w:r w:rsidR="00F03FA5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l’intronisation du </w:t>
            </w:r>
            <w:proofErr w:type="spellStart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passe d’abord par la préparation mystique des </w:t>
            </w:r>
            <w:proofErr w:type="spellStart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>lawanes</w:t>
            </w:r>
            <w:proofErr w:type="spellEnd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(Princes) </w:t>
            </w:r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à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Sagna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précisément à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Mboutane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(Baobab sacré le Génie s’appelle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Mboutane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Le nouveau </w:t>
            </w:r>
            <w:proofErr w:type="spellStart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9F3B4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qui appartient à la famille des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Ndaocounda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de lignée princière, </w:t>
            </w:r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désigné par l’assemblée des </w:t>
            </w:r>
            <w:proofErr w:type="spellStart"/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subit un bain rituel par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Serigne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Ndjigui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avec l’eau de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Nguélémou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. Il</w:t>
            </w:r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est intronisé à la place publique appelée </w:t>
            </w:r>
            <w:proofErr w:type="spellStart"/>
            <w:proofErr w:type="gramStart"/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>Pèye</w:t>
            </w:r>
            <w:proofErr w:type="spellEnd"/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A03A59" w:rsidRPr="008F641F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  <w:proofErr w:type="gramEnd"/>
            <w:r w:rsidR="00A03A5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habillé d’un manteau rouge et noir et d’un bonnet garni de gris-gris sur le front et les faces latérales</w:t>
            </w:r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  <w:r w:rsidR="00A03A5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ceint d’un cordon</w:t>
            </w:r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. A</w:t>
            </w:r>
            <w:r w:rsidR="003875D9" w:rsidRPr="008F641F">
              <w:rPr>
                <w:b/>
                <w:snapToGrid/>
                <w:sz w:val="18"/>
                <w:szCs w:val="18"/>
                <w:lang w:val="fr-FR" w:eastAsia="fr-FR"/>
              </w:rPr>
              <w:t>ssis sur un tertre. on lui verse du riz, du coton et de l’eau</w:t>
            </w:r>
            <w:r w:rsidR="00A03A59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symbole de pureté et de prospérité</w:t>
            </w:r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par une </w:t>
            </w:r>
            <w:proofErr w:type="spellStart"/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>Bambado</w:t>
            </w:r>
            <w:proofErr w:type="spellEnd"/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FE7E35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qui a pour nom </w:t>
            </w:r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SIMAL qui tient le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van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et joue le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role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de gardienne du </w:t>
            </w:r>
            <w:proofErr w:type="gram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rite </w:t>
            </w:r>
            <w:r w:rsidR="00A03A59" w:rsidRPr="008F641F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  <w:proofErr w:type="gram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Ensuite il se rend à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Gouye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Linguère, </w:t>
            </w:r>
            <w:r w:rsidR="00FE7E35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à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Sotto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Bassine, puis à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Sagna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pour 2 jours</w:t>
            </w:r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à la sortie à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Tagoudie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Koundié</w:t>
            </w:r>
            <w:proofErr w:type="spellEnd"/>
            <w:proofErr w:type="gram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( Pierre</w:t>
            </w:r>
            <w:proofErr w:type="gram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. Enfin il se rend à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Kahone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auprès du Bour Saloum avec ses « 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Khins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 » pour  rencontrer tout le Conseil</w:t>
            </w:r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gram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(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proofErr w:type="gram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Dioundiougne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Bissik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>Fara</w:t>
            </w:r>
            <w:proofErr w:type="spellEnd"/>
            <w:r w:rsidR="00E358E1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Lamb, Linguère</w:t>
            </w:r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) à </w:t>
            </w:r>
            <w:proofErr w:type="spellStart"/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>Gouye</w:t>
            </w:r>
            <w:proofErr w:type="spellEnd"/>
            <w:r w:rsidR="00CD34CF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NJULLI vers le fleuve.</w:t>
            </w:r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Le Bour Saloum officialise l’intronisation du nouveau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>Ndoucoumane</w:t>
            </w:r>
            <w:proofErr w:type="spellEnd"/>
            <w:r w:rsidR="00B22D1D" w:rsidRP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et adresse une correspondance à l’autorité administrative pour sa reconnaissance officielle.</w:t>
            </w:r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Cette tradition remonte vers les années 1500 avec </w:t>
            </w:r>
            <w:proofErr w:type="spellStart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>Tagoute</w:t>
            </w:r>
            <w:proofErr w:type="spellEnd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>Waly</w:t>
            </w:r>
            <w:proofErr w:type="spellEnd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 xml:space="preserve"> qui fut le premier à être </w:t>
            </w:r>
            <w:proofErr w:type="spellStart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>intonisé</w:t>
            </w:r>
            <w:proofErr w:type="spellEnd"/>
            <w:r w:rsidR="008F641F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La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mision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du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>consite</w:t>
            </w:r>
            <w:proofErr w:type="spellEnd"/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à préserver les valeurs </w:t>
            </w:r>
            <w:r w:rsidR="009F5133">
              <w:rPr>
                <w:b/>
                <w:snapToGrid/>
                <w:sz w:val="18"/>
                <w:szCs w:val="18"/>
                <w:lang w:val="fr-FR" w:eastAsia="fr-FR"/>
              </w:rPr>
              <w:lastRenderedPageBreak/>
              <w:t>culturelles, le bon comportement, le respect des traditions et coutumes et réguler la société.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9F5133" w:rsidRDefault="003C3611" w:rsidP="009F5133">
            <w:pPr>
              <w:spacing w:before="80" w:after="960" w:line="200" w:lineRule="exact"/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  <w:r w:rsidR="00B22D1D">
              <w:rPr>
                <w:snapToGrid/>
                <w:sz w:val="18"/>
                <w:szCs w:val="18"/>
                <w:lang w:val="fr-FR" w:eastAsia="fr-FR"/>
              </w:rPr>
              <w:t> </w:t>
            </w:r>
            <w:r w:rsidR="009F5133">
              <w:rPr>
                <w:snapToGrid/>
                <w:sz w:val="18"/>
                <w:szCs w:val="18"/>
                <w:lang w:val="fr-FR" w:eastAsia="fr-FR"/>
              </w:rPr>
              <w:t>;</w:t>
            </w:r>
            <w:r w:rsidR="009F5133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  <w:p w:rsidR="009F5133" w:rsidRPr="009F5133" w:rsidRDefault="009F5133" w:rsidP="009F5133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9F5133">
              <w:rPr>
                <w:b/>
                <w:snapToGrid/>
                <w:sz w:val="18"/>
                <w:szCs w:val="18"/>
                <w:lang w:val="fr-FR" w:eastAsia="fr-FR"/>
              </w:rPr>
              <w:t>la</w:t>
            </w:r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famille SIMAL qui fait l’intronisation,</w:t>
            </w:r>
          </w:p>
          <w:p w:rsidR="009F5133" w:rsidRDefault="009F5133" w:rsidP="00833E9E">
            <w:pPr>
              <w:spacing w:before="80" w:after="960" w:line="200" w:lineRule="exact"/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>-</w:t>
            </w:r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le </w:t>
            </w:r>
            <w:proofErr w:type="spellStart"/>
            <w:proofErr w:type="gramStart"/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>Woudé</w:t>
            </w:r>
            <w:proofErr w:type="spellEnd"/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>(</w:t>
            </w:r>
            <w:proofErr w:type="spellStart"/>
            <w:proofErr w:type="gramEnd"/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>coordonnier</w:t>
            </w:r>
            <w:proofErr w:type="spellEnd"/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pas n’importe lequel</w:t>
            </w:r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fait les chaussures avec des gris-gris, </w:t>
            </w:r>
          </w:p>
          <w:p w:rsidR="009F5133" w:rsidRDefault="009F5133" w:rsidP="00833E9E">
            <w:pPr>
              <w:spacing w:before="80" w:after="960" w:line="200" w:lineRule="exact"/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-  </w:t>
            </w:r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le Griot 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attitré </w:t>
            </w:r>
            <w:r w:rsidR="00B22D1D" w:rsidRPr="009F5133">
              <w:rPr>
                <w:b/>
                <w:snapToGrid/>
                <w:sz w:val="18"/>
                <w:szCs w:val="18"/>
                <w:lang w:val="fr-FR" w:eastAsia="fr-FR"/>
              </w:rPr>
              <w:t>chante ses louanges</w:t>
            </w:r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</w:p>
          <w:p w:rsidR="00B22D1D" w:rsidRPr="009F5133" w:rsidRDefault="00833E9E" w:rsidP="009F5133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le Bour Saloum qui officialise l’intronisation du </w:t>
            </w:r>
            <w:proofErr w:type="spellStart"/>
            <w:r w:rsidRPr="009F5133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9F5133" w:rsidRDefault="003C3611" w:rsidP="00F46B8B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</w:t>
            </w:r>
          </w:p>
          <w:p w:rsidR="003C3611" w:rsidRPr="00C92ED6" w:rsidRDefault="003C3611" w:rsidP="00F46B8B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9F5133">
              <w:rPr>
                <w:b/>
                <w:snapToGrid/>
                <w:sz w:val="18"/>
                <w:szCs w:val="18"/>
                <w:lang w:val="fr-FR" w:eastAsia="fr-FR"/>
              </w:rPr>
              <w:t>(préparation de la scène, costumes, formation, supervision)</w:t>
            </w:r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 les </w:t>
            </w:r>
            <w:proofErr w:type="spellStart"/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>Bambados</w:t>
            </w:r>
            <w:proofErr w:type="spellEnd"/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préparent les habits et le déjeuner; les </w:t>
            </w:r>
            <w:proofErr w:type="gramStart"/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>populations ,</w:t>
            </w:r>
            <w:proofErr w:type="gramEnd"/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 xml:space="preserve"> les autorités.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  <w:r w:rsidR="00833E9E">
              <w:rPr>
                <w:snapToGrid/>
                <w:sz w:val="18"/>
                <w:szCs w:val="18"/>
                <w:lang w:val="fr-FR" w:eastAsia="fr-FR"/>
              </w:rPr>
              <w:t> </w:t>
            </w:r>
            <w:r w:rsidR="00833E9E" w:rsidRPr="009F5133">
              <w:rPr>
                <w:b/>
                <w:snapToGrid/>
                <w:sz w:val="18"/>
                <w:szCs w:val="18"/>
                <w:lang w:val="fr-FR" w:eastAsia="fr-FR"/>
              </w:rPr>
              <w:t>: wolofs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EA020D" w:rsidRPr="00B2060A" w:rsidRDefault="003C3611" w:rsidP="00EA020D">
            <w:pPr>
              <w:spacing w:before="80" w:after="96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  <w:r w:rsidR="00833E9E"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13168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131687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Place publique </w:t>
            </w:r>
            <w:proofErr w:type="gramStart"/>
            <w:r w:rsidR="00131687" w:rsidRPr="00B2060A">
              <w:rPr>
                <w:b/>
                <w:snapToGrid/>
                <w:sz w:val="18"/>
                <w:szCs w:val="18"/>
                <w:lang w:val="fr-FR" w:eastAsia="fr-FR"/>
              </w:rPr>
              <w:t>( Pey</w:t>
            </w:r>
            <w:proofErr w:type="gramEnd"/>
            <w:r w:rsidR="00131687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ou </w:t>
            </w:r>
            <w:proofErr w:type="spellStart"/>
            <w:r w:rsidR="00131687" w:rsidRPr="00B2060A">
              <w:rPr>
                <w:b/>
                <w:snapToGrid/>
                <w:sz w:val="18"/>
                <w:szCs w:val="18"/>
                <w:lang w:val="fr-FR" w:eastAsia="fr-FR"/>
              </w:rPr>
              <w:t>penc</w:t>
            </w:r>
            <w:proofErr w:type="spellEnd"/>
            <w:r w:rsidR="00131687" w:rsidRPr="00B2060A">
              <w:rPr>
                <w:b/>
                <w:snapToGrid/>
                <w:sz w:val="18"/>
                <w:szCs w:val="18"/>
                <w:lang w:val="fr-FR" w:eastAsia="fr-FR"/>
              </w:rPr>
              <w:t>) à l’est de la mosquée.</w:t>
            </w:r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Les symboles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gris gris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, offrandes, les Baobabs sacrés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Gouye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soto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lastRenderedPageBreak/>
              <w:t xml:space="preserve">bassine,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Gouye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linguere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Mboutane</w:t>
            </w:r>
            <w:proofErr w:type="spellEnd"/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, le puit à la place publique</w:t>
            </w:r>
          </w:p>
          <w:p w:rsidR="00392B12" w:rsidRPr="00B2060A" w:rsidRDefault="00833E9E" w:rsidP="00EA020D">
            <w:pPr>
              <w:spacing w:before="80" w:after="96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le </w:t>
            </w:r>
            <w:proofErr w:type="gramStart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>Van ,</w:t>
            </w:r>
            <w:proofErr w:type="gramEnd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les céréales, l’eau, la pierre, le tertre, le costume et le bonnet, le foulard(</w:t>
            </w:r>
            <w:proofErr w:type="spellStart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>ndior</w:t>
            </w:r>
            <w:proofErr w:type="spellEnd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), le </w:t>
            </w:r>
            <w:proofErr w:type="spellStart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>khine</w:t>
            </w:r>
            <w:proofErr w:type="spellEnd"/>
            <w:r w:rsidRPr="00B2060A">
              <w:rPr>
                <w:b/>
                <w:snapToGrid/>
                <w:sz w:val="18"/>
                <w:szCs w:val="18"/>
                <w:lang w:val="fr-FR" w:eastAsia="fr-FR"/>
              </w:rPr>
              <w:t>( tambour à peau</w:t>
            </w:r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de bœuf), tamas( 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talking</w:t>
            </w:r>
            <w:proofErr w:type="spell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drums)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2.5.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392B12">
              <w:rPr>
                <w:snapToGrid/>
                <w:sz w:val="18"/>
                <w:szCs w:val="18"/>
                <w:lang w:val="fr-FR" w:eastAsia="fr-FR"/>
              </w:rPr>
              <w:t>: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Jaat</w:t>
            </w:r>
            <w:proofErr w:type="spellEnd"/>
            <w:proofErr w:type="gram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( litanies ésotériques), chants généalogiques, louanges(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tagg</w:t>
            </w:r>
            <w:proofErr w:type="spell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)</w:t>
            </w:r>
            <w:r w:rsidR="00B2060A">
              <w:rPr>
                <w:b/>
                <w:snapToGrid/>
                <w:sz w:val="18"/>
                <w:szCs w:val="18"/>
                <w:lang w:val="fr-FR" w:eastAsia="fr-FR"/>
              </w:rPr>
              <w:t>, offrande, argent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> </w:t>
            </w:r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; préparation mystique du 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et libations du 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et de son entourage à </w:t>
            </w:r>
            <w:proofErr w:type="spellStart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Mboutane</w:t>
            </w:r>
            <w:proofErr w:type="spellEnd"/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 xml:space="preserve"> et il voit un serpent en rêve si les sacrifices sont acceptées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transmission tacite non formalisée, association de la communauté, communication publique, présence des chefs de transmission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</w:tc>
      </w:tr>
      <w:tr w:rsidR="003C3611" w:rsidRPr="00A60B52" w:rsidTr="00F46B8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> </w:t>
            </w:r>
            <w:r w:rsidR="00392B12" w:rsidRPr="00B2060A">
              <w:rPr>
                <w:b/>
                <w:snapToGrid/>
                <w:sz w:val="18"/>
                <w:szCs w:val="18"/>
                <w:lang w:val="fr-FR" w:eastAsia="fr-FR"/>
              </w:rPr>
              <w:t>; Néant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  <w:r w:rsidR="00392B12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E90E6B" w:rsidRPr="00B2060A">
              <w:rPr>
                <w:b/>
                <w:snapToGrid/>
                <w:sz w:val="18"/>
                <w:szCs w:val="18"/>
                <w:lang w:val="fr-FR" w:eastAsia="fr-FR"/>
              </w:rPr>
              <w:t>pas de menace sociologique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  <w:r w:rsidR="00E90E6B">
              <w:rPr>
                <w:snapToGrid/>
                <w:sz w:val="18"/>
                <w:szCs w:val="18"/>
                <w:lang w:val="fr-FR" w:eastAsia="fr-FR"/>
              </w:rPr>
              <w:t xml:space="preserve"> ; </w:t>
            </w:r>
            <w:r w:rsidR="00E90E6B" w:rsidRPr="00BB46BF">
              <w:rPr>
                <w:b/>
                <w:snapToGrid/>
                <w:sz w:val="18"/>
                <w:szCs w:val="18"/>
                <w:lang w:val="fr-FR" w:eastAsia="fr-FR"/>
              </w:rPr>
              <w:t>désintérêt de la jeunesse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  <w:r w:rsidR="00E90E6B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E90E6B" w:rsidRPr="00BB46BF">
              <w:rPr>
                <w:b/>
                <w:snapToGrid/>
                <w:sz w:val="18"/>
                <w:szCs w:val="18"/>
                <w:lang w:val="fr-FR" w:eastAsia="fr-FR"/>
              </w:rPr>
              <w:t>Rupture de la transmission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3.4.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  <w:r w:rsidR="00E90E6B">
              <w:rPr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E90E6B">
              <w:rPr>
                <w:snapToGrid/>
                <w:sz w:val="18"/>
                <w:szCs w:val="18"/>
                <w:lang w:val="fr-FR" w:eastAsia="fr-FR"/>
              </w:rPr>
              <w:t>:</w:t>
            </w:r>
            <w:r w:rsidR="00E90E6B" w:rsidRPr="00BB46BF">
              <w:rPr>
                <w:b/>
                <w:snapToGrid/>
                <w:sz w:val="18"/>
                <w:szCs w:val="18"/>
                <w:lang w:val="fr-FR" w:eastAsia="fr-FR"/>
              </w:rPr>
              <w:t>Mobilisation</w:t>
            </w:r>
            <w:proofErr w:type="gramEnd"/>
            <w:r w:rsidR="00E90E6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de la famille SIMAL gardienne du culte</w:t>
            </w:r>
          </w:p>
        </w:tc>
      </w:tr>
      <w:tr w:rsidR="003C3611" w:rsidRPr="00A60B52" w:rsidTr="00F46B8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  <w:r w:rsidR="000D1346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Existence de l’intronisation du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, Tour des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Ndaocounda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, ouvrage de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Waly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FAYE, Les escales  ferroviaires du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Ndoucoumane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, pièces de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théatre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, vidéo de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Modou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Ndao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SEUN</w:t>
            </w:r>
            <w:r w:rsidR="00BB46BF">
              <w:rPr>
                <w:b/>
                <w:snapToGrid/>
                <w:sz w:val="18"/>
                <w:szCs w:val="18"/>
                <w:lang w:val="fr-FR" w:eastAsia="fr-FR"/>
              </w:rPr>
              <w:t>, sensibilisation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6D64CB" w:rsidRPr="006D64CB" w:rsidRDefault="003C3611" w:rsidP="006D64CB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  <w:r w:rsidR="000D1346"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6D64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Oui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  <w:r w:rsidR="000D1346">
              <w:rPr>
                <w:snapToGrid/>
                <w:sz w:val="18"/>
                <w:szCs w:val="18"/>
                <w:lang w:val="fr-FR" w:eastAsia="fr-FR"/>
              </w:rPr>
              <w:t> </w:t>
            </w:r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: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non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sans réserve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Personne(s) ressource(s) : nom et statut</w:t>
            </w:r>
            <w:r w:rsidR="000D1346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Modou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Ndao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>eun</w:t>
            </w:r>
            <w:proofErr w:type="spellEnd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Souleymane NDAO </w:t>
            </w:r>
            <w:proofErr w:type="spellStart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0D1346" w:rsidRPr="00BB46BF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</w:p>
        </w:tc>
      </w:tr>
      <w:tr w:rsidR="003C3611" w:rsidRPr="00A60B52" w:rsidTr="00F46B8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  <w:r w:rsidR="000D1346">
              <w:rPr>
                <w:snapToGrid/>
                <w:sz w:val="18"/>
                <w:szCs w:val="18"/>
                <w:lang w:val="fr-FR" w:eastAsia="fr-FR"/>
              </w:rPr>
              <w:t xml:space="preserve"> ; 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19/04/2019 chez le </w:t>
            </w:r>
            <w:proofErr w:type="spellStart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>Beuleup</w:t>
            </w:r>
            <w:proofErr w:type="spellEnd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à </w:t>
            </w:r>
            <w:proofErr w:type="spellStart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>Pèye</w:t>
            </w:r>
            <w:proofErr w:type="spellEnd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Kaffrine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  <w:r w:rsidR="006D64CB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documents, ouvrage de </w:t>
            </w:r>
            <w:proofErr w:type="spellStart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>Waly</w:t>
            </w:r>
            <w:proofErr w:type="spellEnd"/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FAYE et de Pape Ibrahima SAKHO,  archives, privés et publics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  <w:r w:rsidR="006D64CB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vidéos</w:t>
            </w:r>
            <w:r w:rsidR="006D64CB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avec MODOU NDAO SEUN</w:t>
            </w:r>
            <w:r w:rsidR="006D64CB">
              <w:rPr>
                <w:snapToGrid/>
                <w:sz w:val="18"/>
                <w:szCs w:val="18"/>
                <w:lang w:val="fr-FR" w:eastAsia="fr-FR"/>
              </w:rPr>
              <w:t>,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96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  <w:r w:rsidR="00781354">
              <w:rPr>
                <w:snapToGrid/>
                <w:sz w:val="18"/>
                <w:szCs w:val="18"/>
                <w:lang w:val="fr-FR" w:eastAsia="fr-FR"/>
              </w:rPr>
              <w:t xml:space="preserve"> ; </w:t>
            </w:r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Oui collection de la famille du BEULEUP</w:t>
            </w:r>
          </w:p>
        </w:tc>
      </w:tr>
      <w:tr w:rsidR="003C3611" w:rsidRPr="00C92ED6" w:rsidTr="00F46B8B">
        <w:tc>
          <w:tcPr>
            <w:tcW w:w="567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3C3611" w:rsidRPr="00C92ED6" w:rsidRDefault="003C3611" w:rsidP="00F46B8B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  <w:r w:rsidR="00781354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Yacine </w:t>
            </w:r>
            <w:proofErr w:type="gramStart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NGOM ,</w:t>
            </w:r>
            <w:proofErr w:type="gramEnd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Mamadou GAYE , </w:t>
            </w:r>
            <w:proofErr w:type="spellStart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Absatou</w:t>
            </w:r>
            <w:proofErr w:type="spellEnd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 xml:space="preserve"> DIA</w:t>
            </w:r>
            <w:r w:rsidR="00FE7E35" w:rsidRPr="00BB46BF">
              <w:rPr>
                <w:b/>
                <w:snapToGrid/>
                <w:sz w:val="18"/>
                <w:szCs w:val="18"/>
                <w:lang w:val="fr-FR" w:eastAsia="fr-FR"/>
              </w:rPr>
              <w:t>, Fodé SARR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  <w:r w:rsidR="00781354">
              <w:rPr>
                <w:snapToGrid/>
                <w:sz w:val="18"/>
                <w:szCs w:val="18"/>
                <w:highlight w:val="yellow"/>
                <w:lang w:val="fr-FR" w:eastAsia="fr-FR"/>
              </w:rPr>
              <w:t> </w:t>
            </w:r>
            <w:r w:rsidR="00781354">
              <w:rPr>
                <w:snapToGrid/>
                <w:sz w:val="18"/>
                <w:szCs w:val="18"/>
                <w:lang w:val="fr-FR" w:eastAsia="fr-FR"/>
              </w:rPr>
              <w:t xml:space="preserve">; </w:t>
            </w:r>
            <w:proofErr w:type="spellStart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video</w:t>
            </w:r>
            <w:proofErr w:type="spellEnd"/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, lettre de consentement</w:t>
            </w:r>
          </w:p>
        </w:tc>
      </w:tr>
      <w:tr w:rsidR="003C3611" w:rsidRPr="00A60B52" w:rsidTr="00F46B8B">
        <w:tc>
          <w:tcPr>
            <w:tcW w:w="567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6.3.</w:t>
            </w:r>
          </w:p>
        </w:tc>
        <w:tc>
          <w:tcPr>
            <w:tcW w:w="8283" w:type="dxa"/>
            <w:shd w:val="clear" w:color="auto" w:fill="auto"/>
          </w:tcPr>
          <w:p w:rsidR="003C3611" w:rsidRPr="00C92ED6" w:rsidRDefault="003C3611" w:rsidP="00F46B8B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  <w:r w:rsidR="00781354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781354" w:rsidRPr="00BB46BF">
              <w:rPr>
                <w:b/>
                <w:snapToGrid/>
                <w:sz w:val="18"/>
                <w:szCs w:val="18"/>
                <w:lang w:val="fr-FR" w:eastAsia="fr-FR"/>
              </w:rPr>
              <w:t>20/04/2019</w:t>
            </w:r>
          </w:p>
        </w:tc>
      </w:tr>
    </w:tbl>
    <w:p w:rsidR="003C3611" w:rsidRPr="00A31579" w:rsidRDefault="003C3611" w:rsidP="003C3611">
      <w:pPr>
        <w:pStyle w:val="Texte1"/>
      </w:pPr>
    </w:p>
    <w:p w:rsidR="009B1139" w:rsidRPr="003C3611" w:rsidRDefault="009B1139">
      <w:pPr>
        <w:rPr>
          <w:lang w:val="fr-FR"/>
        </w:rPr>
      </w:pPr>
    </w:p>
    <w:sectPr w:rsidR="009B1139" w:rsidRPr="003C3611" w:rsidSect="0086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94" w:rsidRDefault="002F1994" w:rsidP="000974CA">
      <w:pPr>
        <w:spacing w:before="0" w:after="0"/>
      </w:pPr>
      <w:r>
        <w:separator/>
      </w:r>
    </w:p>
  </w:endnote>
  <w:endnote w:type="continuationSeparator" w:id="0">
    <w:p w:rsidR="002F1994" w:rsidRDefault="002F1994" w:rsidP="000974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2F1994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781354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2F1994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94" w:rsidRDefault="002F1994" w:rsidP="000974CA">
      <w:pPr>
        <w:spacing w:before="0" w:after="0"/>
      </w:pPr>
      <w:r>
        <w:separator/>
      </w:r>
    </w:p>
  </w:footnote>
  <w:footnote w:type="continuationSeparator" w:id="0">
    <w:p w:rsidR="002F1994" w:rsidRDefault="002F1994" w:rsidP="000974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781354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781354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2F31E0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EC355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781354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442"/>
    <w:multiLevelType w:val="hybridMultilevel"/>
    <w:tmpl w:val="7412415A"/>
    <w:lvl w:ilvl="0" w:tplc="EBAA83D2">
      <w:start w:val="2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11"/>
    <w:rsid w:val="000974CA"/>
    <w:rsid w:val="000D1346"/>
    <w:rsid w:val="00105EBB"/>
    <w:rsid w:val="00131687"/>
    <w:rsid w:val="002F1994"/>
    <w:rsid w:val="002F31E0"/>
    <w:rsid w:val="003875D9"/>
    <w:rsid w:val="00392B12"/>
    <w:rsid w:val="003C3611"/>
    <w:rsid w:val="006D64CB"/>
    <w:rsid w:val="00727EB9"/>
    <w:rsid w:val="00762F3B"/>
    <w:rsid w:val="00781354"/>
    <w:rsid w:val="007B7930"/>
    <w:rsid w:val="00833E9E"/>
    <w:rsid w:val="008F641F"/>
    <w:rsid w:val="009B1139"/>
    <w:rsid w:val="009F3B4F"/>
    <w:rsid w:val="009F5133"/>
    <w:rsid w:val="00A03A59"/>
    <w:rsid w:val="00A60B52"/>
    <w:rsid w:val="00B12D86"/>
    <w:rsid w:val="00B2060A"/>
    <w:rsid w:val="00B22D1D"/>
    <w:rsid w:val="00B50EDB"/>
    <w:rsid w:val="00BB46BF"/>
    <w:rsid w:val="00C11900"/>
    <w:rsid w:val="00C82356"/>
    <w:rsid w:val="00CC3FA6"/>
    <w:rsid w:val="00CD34CF"/>
    <w:rsid w:val="00D646E7"/>
    <w:rsid w:val="00E358E1"/>
    <w:rsid w:val="00E90E6B"/>
    <w:rsid w:val="00EA020D"/>
    <w:rsid w:val="00EC3552"/>
    <w:rsid w:val="00F03FA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FB85F-E210-4E55-AEC5-255F481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3C3611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C3611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3C3611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C3611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3C3611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9F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440 G3</dc:creator>
  <cp:lastModifiedBy>user</cp:lastModifiedBy>
  <cp:revision>2</cp:revision>
  <dcterms:created xsi:type="dcterms:W3CDTF">2019-05-14T15:47:00Z</dcterms:created>
  <dcterms:modified xsi:type="dcterms:W3CDTF">2019-05-14T15:47:00Z</dcterms:modified>
</cp:coreProperties>
</file>