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3892" w14:textId="54DE07A9" w:rsidR="00D11FA6" w:rsidRPr="00675B85" w:rsidRDefault="00B83A87" w:rsidP="000719BE">
      <w:pPr>
        <w:pStyle w:val="Titre4"/>
        <w:spacing w:after="0" w:line="240" w:lineRule="auto"/>
        <w:jc w:val="center"/>
        <w:rPr>
          <w:rFonts w:ascii="Times New Roman" w:eastAsia="Calibri" w:hAnsi="Times New Roman" w:cs="Times New Roman"/>
          <w:bCs/>
          <w:caps w:val="0"/>
          <w:snapToGrid w:val="0"/>
          <w:color w:val="3366FF"/>
          <w:kern w:val="28"/>
          <w:sz w:val="22"/>
          <w:u w:val="single"/>
          <w:lang w:eastAsia="zh-CN"/>
        </w:rPr>
      </w:pPr>
      <w:bookmarkStart w:id="0" w:name="_GoBack"/>
      <w:bookmarkEnd w:id="0"/>
      <w:r w:rsidRPr="00675B85">
        <w:rPr>
          <w:rFonts w:ascii="Times New Roman" w:eastAsia="Calibri" w:hAnsi="Times New Roman" w:cs="Times New Roman"/>
          <w:bCs/>
          <w:caps w:val="0"/>
          <w:snapToGrid w:val="0"/>
          <w:color w:val="3366FF"/>
          <w:kern w:val="28"/>
          <w:sz w:val="22"/>
          <w:u w:val="single"/>
          <w:lang w:eastAsia="zh-CN"/>
        </w:rPr>
        <w:t>FICHE</w:t>
      </w:r>
      <w:r w:rsidR="00F355F4" w:rsidRPr="00675B85">
        <w:rPr>
          <w:rFonts w:ascii="Times New Roman" w:eastAsia="Calibri" w:hAnsi="Times New Roman" w:cs="Times New Roman"/>
          <w:bCs/>
          <w:caps w:val="0"/>
          <w:snapToGrid w:val="0"/>
          <w:color w:val="3366FF"/>
          <w:kern w:val="28"/>
          <w:sz w:val="22"/>
          <w:u w:val="single"/>
          <w:lang w:eastAsia="zh-CN"/>
        </w:rPr>
        <w:t xml:space="preserve"> TYPE D’INVENTAIRE DU PCI</w:t>
      </w:r>
    </w:p>
    <w:p w14:paraId="07024AD4" w14:textId="280754E8" w:rsidR="00F355F4" w:rsidRPr="00675B85" w:rsidRDefault="00F355F4" w:rsidP="000719BE">
      <w:pPr>
        <w:spacing w:after="0"/>
        <w:rPr>
          <w:rFonts w:ascii="Times New Roman" w:hAnsi="Times New Roman" w:cs="Times New Roman"/>
          <w:szCs w:val="22"/>
          <w:lang w:val="fr-FR"/>
        </w:rPr>
      </w:pPr>
    </w:p>
    <w:p w14:paraId="3C50FD8E" w14:textId="545E7C73" w:rsidR="00F355F4" w:rsidRPr="00675B85" w:rsidRDefault="00F355F4" w:rsidP="000719BE">
      <w:pPr>
        <w:spacing w:after="0"/>
        <w:rPr>
          <w:rFonts w:ascii="Times New Roman" w:hAnsi="Times New Roman" w:cs="Times New Roman"/>
          <w:b/>
          <w:szCs w:val="22"/>
          <w:lang w:val="fr-FR"/>
        </w:rPr>
      </w:pPr>
      <w:r w:rsidRPr="00675B85">
        <w:rPr>
          <w:rFonts w:ascii="Times New Roman" w:hAnsi="Times New Roman" w:cs="Times New Roman"/>
          <w:szCs w:val="22"/>
          <w:u w:val="single"/>
          <w:lang w:val="fr-FR"/>
        </w:rPr>
        <w:t>REGION </w:t>
      </w:r>
      <w:r w:rsidRPr="00675B85">
        <w:rPr>
          <w:rFonts w:ascii="Times New Roman" w:hAnsi="Times New Roman" w:cs="Times New Roman"/>
          <w:b/>
          <w:szCs w:val="22"/>
          <w:lang w:val="fr-FR"/>
        </w:rPr>
        <w:t xml:space="preserve">: </w:t>
      </w:r>
      <w:r w:rsidR="0071699D" w:rsidRPr="00675B85">
        <w:rPr>
          <w:rFonts w:ascii="Times New Roman" w:hAnsi="Times New Roman" w:cs="Times New Roman"/>
          <w:b/>
          <w:szCs w:val="22"/>
          <w:lang w:val="fr-FR"/>
        </w:rPr>
        <w:t xml:space="preserve">           THIES</w:t>
      </w:r>
    </w:p>
    <w:p w14:paraId="46BDE879" w14:textId="77777777" w:rsidR="00F355F4" w:rsidRPr="00675B85" w:rsidRDefault="00F355F4" w:rsidP="000719BE">
      <w:pPr>
        <w:spacing w:after="0"/>
        <w:rPr>
          <w:rFonts w:ascii="Times New Roman" w:hAnsi="Times New Roman" w:cs="Times New Roman"/>
          <w:b/>
          <w:szCs w:val="22"/>
          <w:lang w:val="fr-FR"/>
        </w:rPr>
      </w:pPr>
    </w:p>
    <w:p w14:paraId="1C1116F0" w14:textId="18501C68" w:rsidR="00F355F4" w:rsidRPr="00675B85" w:rsidRDefault="00F355F4" w:rsidP="000719BE">
      <w:pPr>
        <w:spacing w:after="0"/>
        <w:rPr>
          <w:rFonts w:ascii="Times New Roman" w:hAnsi="Times New Roman" w:cs="Times New Roman"/>
          <w:b/>
          <w:szCs w:val="22"/>
          <w:lang w:val="fr-FR"/>
        </w:rPr>
      </w:pPr>
      <w:r w:rsidRPr="00675B85">
        <w:rPr>
          <w:rFonts w:ascii="Times New Roman" w:hAnsi="Times New Roman" w:cs="Times New Roman"/>
          <w:szCs w:val="22"/>
          <w:u w:val="single"/>
          <w:lang w:val="fr-FR"/>
        </w:rPr>
        <w:t>DEPARTEMENT</w:t>
      </w:r>
      <w:r w:rsidRPr="00675B85">
        <w:rPr>
          <w:rFonts w:ascii="Times New Roman" w:hAnsi="Times New Roman" w:cs="Times New Roman"/>
          <w:b/>
          <w:szCs w:val="22"/>
          <w:u w:val="single"/>
          <w:lang w:val="fr-FR"/>
        </w:rPr>
        <w:t> :</w:t>
      </w:r>
      <w:r w:rsidR="0071699D" w:rsidRPr="00675B85">
        <w:rPr>
          <w:rFonts w:ascii="Times New Roman" w:hAnsi="Times New Roman" w:cs="Times New Roman"/>
          <w:b/>
          <w:szCs w:val="22"/>
          <w:lang w:val="fr-FR"/>
        </w:rPr>
        <w:t xml:space="preserve">       THIES</w:t>
      </w:r>
    </w:p>
    <w:p w14:paraId="565B1A39" w14:textId="4AFAF32F" w:rsidR="00C92ED6" w:rsidRPr="00675B85" w:rsidRDefault="00F355F4" w:rsidP="000719BE">
      <w:pPr>
        <w:pStyle w:val="Titre4"/>
        <w:spacing w:after="0" w:line="240" w:lineRule="auto"/>
        <w:rPr>
          <w:rFonts w:ascii="Times New Roman" w:hAnsi="Times New Roman" w:cs="Times New Roman"/>
          <w:sz w:val="22"/>
        </w:rPr>
      </w:pPr>
      <w:r w:rsidRPr="00675B85">
        <w:rPr>
          <w:rFonts w:ascii="Times New Roman" w:hAnsi="Times New Roman" w:cs="Times New Roman"/>
          <w:b w:val="0"/>
          <w:sz w:val="22"/>
          <w:u w:val="single"/>
        </w:rPr>
        <w:t>Numero de la fiche</w:t>
      </w:r>
      <w:r w:rsidRPr="00675B85">
        <w:rPr>
          <w:rFonts w:ascii="Times New Roman" w:hAnsi="Times New Roman" w:cs="Times New Roman"/>
          <w:sz w:val="22"/>
        </w:rPr>
        <w:t> :</w:t>
      </w:r>
      <w:r w:rsidR="0071699D" w:rsidRPr="00675B85">
        <w:rPr>
          <w:rFonts w:ascii="Times New Roman" w:hAnsi="Times New Roman" w:cs="Times New Roman"/>
          <w:sz w:val="22"/>
        </w:rPr>
        <w:t xml:space="preserve">      001</w:t>
      </w:r>
    </w:p>
    <w:tbl>
      <w:tblPr>
        <w:tblW w:w="97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139"/>
      </w:tblGrid>
      <w:tr w:rsidR="00C92ED6" w:rsidRPr="00675B85" w14:paraId="404C9DFB" w14:textId="77777777" w:rsidTr="00814267">
        <w:tc>
          <w:tcPr>
            <w:tcW w:w="567" w:type="dxa"/>
            <w:shd w:val="clear" w:color="auto" w:fill="F2F2F2"/>
          </w:tcPr>
          <w:p w14:paraId="0009D042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  <w:t>1.</w:t>
            </w:r>
          </w:p>
        </w:tc>
        <w:tc>
          <w:tcPr>
            <w:tcW w:w="9139" w:type="dxa"/>
            <w:shd w:val="clear" w:color="auto" w:fill="F2F2F2"/>
          </w:tcPr>
          <w:p w14:paraId="13871566" w14:textId="77777777" w:rsidR="00C92ED6" w:rsidRPr="00675B85" w:rsidRDefault="00C92ED6" w:rsidP="00675B85">
            <w:pPr>
              <w:pStyle w:val="Tabtxt"/>
              <w:keepNext w:val="0"/>
              <w:spacing w:before="0" w:after="0" w:line="240" w:lineRule="auto"/>
              <w:ind w:left="113"/>
              <w:jc w:val="left"/>
              <w:rPr>
                <w:rFonts w:ascii="Times New Roman" w:hAnsi="Times New Roman" w:cs="Times New Roman"/>
                <w:b/>
                <w:caps/>
                <w:sz w:val="22"/>
                <w:szCs w:val="22"/>
              </w:rPr>
            </w:pPr>
            <w:r w:rsidRPr="00675B85">
              <w:rPr>
                <w:rFonts w:ascii="Times New Roman" w:hAnsi="Times New Roman" w:cs="Times New Roman"/>
                <w:b/>
                <w:caps/>
                <w:snapToGrid w:val="0"/>
                <w:sz w:val="22"/>
                <w:szCs w:val="22"/>
              </w:rPr>
              <w:t>Identification de l’élément du PCI</w:t>
            </w:r>
          </w:p>
        </w:tc>
      </w:tr>
      <w:tr w:rsidR="00C92ED6" w:rsidRPr="00675B85" w14:paraId="3F409B14" w14:textId="77777777" w:rsidTr="00814267">
        <w:tc>
          <w:tcPr>
            <w:tcW w:w="567" w:type="dxa"/>
            <w:shd w:val="clear" w:color="auto" w:fill="auto"/>
          </w:tcPr>
          <w:p w14:paraId="565588F5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1.1.</w:t>
            </w:r>
          </w:p>
        </w:tc>
        <w:tc>
          <w:tcPr>
            <w:tcW w:w="9139" w:type="dxa"/>
            <w:shd w:val="clear" w:color="auto" w:fill="auto"/>
          </w:tcPr>
          <w:p w14:paraId="0762543A" w14:textId="77777777" w:rsidR="00EE6E64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Nom de l’élément du PCI tel qu’il est employé par la communauté concernée</w:t>
            </w:r>
          </w:p>
          <w:p w14:paraId="2A74006A" w14:textId="64D8C0D9" w:rsidR="00EE6E64" w:rsidRPr="00675B85" w:rsidRDefault="00B83A87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 </w:t>
            </w:r>
            <w:r w:rsidR="007B77D3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KANKOURAŋ</w:t>
            </w:r>
            <w:r w:rsidR="00F3514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</w:p>
        </w:tc>
      </w:tr>
      <w:tr w:rsidR="00C92ED6" w:rsidRPr="00675B85" w14:paraId="5696574F" w14:textId="77777777" w:rsidTr="00814267">
        <w:trPr>
          <w:trHeight w:val="1328"/>
        </w:trPr>
        <w:tc>
          <w:tcPr>
            <w:tcW w:w="567" w:type="dxa"/>
            <w:shd w:val="clear" w:color="auto" w:fill="auto"/>
          </w:tcPr>
          <w:p w14:paraId="2C8A2D6D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1.2.</w:t>
            </w:r>
          </w:p>
        </w:tc>
        <w:tc>
          <w:tcPr>
            <w:tcW w:w="9139" w:type="dxa"/>
            <w:shd w:val="clear" w:color="auto" w:fill="auto"/>
          </w:tcPr>
          <w:p w14:paraId="0286ED7B" w14:textId="0D5132D9" w:rsidR="001D3FB7" w:rsidRPr="00675B85" w:rsidRDefault="00A06BCB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Titre </w:t>
            </w:r>
            <w:r w:rsidR="00C92ED6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de l’élément du PCI ‒ avec indication du (des) domaine(s) du PCI concerné(s)</w:t>
            </w:r>
          </w:p>
          <w:p w14:paraId="58BC1321" w14:textId="77777777" w:rsidR="00F07A52" w:rsidRPr="00675B85" w:rsidRDefault="0029520D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Rituel </w:t>
            </w:r>
            <w:r w:rsidR="00C80C7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d’initiation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manding</w:t>
            </w:r>
            <w:r w:rsidR="00522182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                                                                                                 </w:t>
            </w:r>
          </w:p>
          <w:p w14:paraId="2DF89C07" w14:textId="4236D00D" w:rsidR="00A20186" w:rsidRPr="00675B85" w:rsidRDefault="00522182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A20186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19461A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Domaine du </w:t>
            </w:r>
            <w:r w:rsidR="00136935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PCI</w:t>
            </w:r>
            <w:r w:rsidR="0013693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 :</w:t>
            </w:r>
            <w:r w:rsidR="00136935" w:rsidRPr="00675B85">
              <w:rPr>
                <w:rFonts w:ascii="Times New Roman" w:hAnsi="Times New Roman" w:cs="Times New Roman"/>
                <w:szCs w:val="22"/>
                <w:lang w:val="fr-FR"/>
              </w:rPr>
              <w:t xml:space="preserve"> </w:t>
            </w:r>
            <w:r w:rsidR="00136935" w:rsidRPr="00675B85">
              <w:rPr>
                <w:rFonts w:ascii="Times New Roman" w:hAnsi="Times New Roman" w:cs="Times New Roman"/>
                <w:b/>
                <w:szCs w:val="22"/>
                <w:lang w:val="fr-FR"/>
              </w:rPr>
              <w:t>pratique</w:t>
            </w:r>
            <w:r w:rsidR="00C24808" w:rsidRPr="00675B85">
              <w:rPr>
                <w:rFonts w:ascii="Times New Roman" w:hAnsi="Times New Roman" w:cs="Times New Roman"/>
                <w:b/>
                <w:szCs w:val="22"/>
                <w:lang w:val="fr-FR"/>
              </w:rPr>
              <w:t>s</w:t>
            </w:r>
            <w:r w:rsidR="00136935" w:rsidRPr="00675B85">
              <w:rPr>
                <w:rFonts w:ascii="Times New Roman" w:hAnsi="Times New Roman" w:cs="Times New Roman"/>
                <w:b/>
                <w:szCs w:val="22"/>
                <w:lang w:val="fr-FR"/>
              </w:rPr>
              <w:t xml:space="preserve"> sociale</w:t>
            </w:r>
            <w:r w:rsidR="00C24808" w:rsidRPr="00675B85">
              <w:rPr>
                <w:rFonts w:ascii="Times New Roman" w:hAnsi="Times New Roman" w:cs="Times New Roman"/>
                <w:b/>
                <w:szCs w:val="22"/>
                <w:lang w:val="fr-FR"/>
              </w:rPr>
              <w:t>s</w:t>
            </w:r>
            <w:r w:rsidRPr="00675B85">
              <w:rPr>
                <w:rFonts w:ascii="Times New Roman" w:hAnsi="Times New Roman" w:cs="Times New Roman"/>
                <w:b/>
                <w:szCs w:val="22"/>
                <w:lang w:val="fr-FR"/>
              </w:rPr>
              <w:t>, rituels et événements festifs</w:t>
            </w:r>
          </w:p>
          <w:p w14:paraId="4BFD7C4C" w14:textId="127164B7" w:rsidR="00A73163" w:rsidRPr="00675B85" w:rsidRDefault="00A73163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</w:p>
        </w:tc>
      </w:tr>
      <w:tr w:rsidR="00C92ED6" w:rsidRPr="00675B85" w14:paraId="406D785C" w14:textId="77777777" w:rsidTr="00814267">
        <w:tc>
          <w:tcPr>
            <w:tcW w:w="567" w:type="dxa"/>
            <w:shd w:val="clear" w:color="auto" w:fill="auto"/>
          </w:tcPr>
          <w:p w14:paraId="60A05A86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1.3.</w:t>
            </w:r>
          </w:p>
        </w:tc>
        <w:tc>
          <w:tcPr>
            <w:tcW w:w="9139" w:type="dxa"/>
            <w:shd w:val="clear" w:color="auto" w:fill="auto"/>
          </w:tcPr>
          <w:p w14:paraId="2E0C2EB0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Communauté</w:t>
            </w:r>
            <w:r w:rsidR="00A06BCB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</w:t>
            </w: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(s) concernée</w:t>
            </w:r>
            <w:r w:rsidR="00A06BCB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</w:t>
            </w: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(s)</w:t>
            </w:r>
          </w:p>
          <w:p w14:paraId="02BDA4F2" w14:textId="04645DDB" w:rsidR="00C10B21" w:rsidRPr="00675B85" w:rsidRDefault="00EE297B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Communauté mandingue du département de  Mbour</w:t>
            </w:r>
          </w:p>
        </w:tc>
      </w:tr>
      <w:tr w:rsidR="00C92ED6" w:rsidRPr="00675B85" w14:paraId="7E5DF958" w14:textId="77777777" w:rsidTr="00814267">
        <w:tc>
          <w:tcPr>
            <w:tcW w:w="567" w:type="dxa"/>
            <w:shd w:val="clear" w:color="auto" w:fill="auto"/>
          </w:tcPr>
          <w:p w14:paraId="42AF2DDA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1.4.</w:t>
            </w:r>
          </w:p>
        </w:tc>
        <w:tc>
          <w:tcPr>
            <w:tcW w:w="9139" w:type="dxa"/>
            <w:shd w:val="clear" w:color="auto" w:fill="auto"/>
          </w:tcPr>
          <w:p w14:paraId="5F632728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Emplacement(s) physique(s)</w:t>
            </w:r>
            <w:r w:rsidR="00A06BCB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</w:t>
            </w: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/</w:t>
            </w:r>
            <w:r w:rsidR="00A06BCB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</w:t>
            </w: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répartition et fréquence de la pratique de l’élément du PCI</w:t>
            </w:r>
          </w:p>
          <w:p w14:paraId="557ED92A" w14:textId="62B0CA59" w:rsidR="003B770C" w:rsidRPr="00675B85" w:rsidRDefault="00EE297B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Ville de Mbour et village de Mboulem /au mois de septembre de chaque </w:t>
            </w:r>
            <w:r w:rsidR="006F7670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année</w:t>
            </w:r>
          </w:p>
        </w:tc>
      </w:tr>
      <w:tr w:rsidR="00C92ED6" w:rsidRPr="00675B85" w14:paraId="67068422" w14:textId="77777777" w:rsidTr="00814267">
        <w:trPr>
          <w:trHeight w:val="296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4A37142" w14:textId="48A61483" w:rsidR="00C92ED6" w:rsidRPr="00675B85" w:rsidRDefault="003D5B49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1.5</w:t>
            </w:r>
          </w:p>
        </w:tc>
        <w:tc>
          <w:tcPr>
            <w:tcW w:w="9139" w:type="dxa"/>
            <w:tcBorders>
              <w:bottom w:val="single" w:sz="4" w:space="0" w:color="auto"/>
            </w:tcBorders>
            <w:shd w:val="clear" w:color="auto" w:fill="auto"/>
          </w:tcPr>
          <w:p w14:paraId="59151E4B" w14:textId="283741C4" w:rsidR="00290E8D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Brève description de l’élément du PCI (de préférence pas plus de 200 mots)</w:t>
            </w:r>
          </w:p>
          <w:p w14:paraId="334FB4B7" w14:textId="77777777" w:rsidR="006F7670" w:rsidRPr="00675B85" w:rsidRDefault="006F7670" w:rsidP="00675B85">
            <w:pPr>
              <w:spacing w:before="0" w:after="0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</w:p>
          <w:p w14:paraId="1F804F93" w14:textId="346D64FD" w:rsidR="00681E75" w:rsidRPr="00675B85" w:rsidRDefault="00B3378C" w:rsidP="00675B85">
            <w:pPr>
              <w:spacing w:before="0" w:after="0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Le </w:t>
            </w:r>
            <w:r w:rsidR="00235FA1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Kankourang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est un </w:t>
            </w:r>
            <w:r w:rsidR="00235FA1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géni</w:t>
            </w:r>
            <w:r w:rsidR="000D2A0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e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protec</w:t>
            </w:r>
            <w:r w:rsidR="0074546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teur de </w:t>
            </w:r>
            <w:r w:rsidR="000D2A0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La circoncision des garçons</w:t>
            </w:r>
            <w:r w:rsidR="00F07A52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.</w:t>
            </w:r>
            <w:r w:rsidR="005F23E9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C’est </w:t>
            </w:r>
            <w:r w:rsidR="000F267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durant toute la période du</w:t>
            </w:r>
            <w:r w:rsidR="00305430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Kuyanŋ</w:t>
            </w:r>
            <w:r w:rsidR="000F267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36488E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ou circoncision </w:t>
            </w:r>
            <w:r w:rsidR="0030220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que</w:t>
            </w:r>
            <w:r w:rsidR="000D2A0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les circoncis sont</w:t>
            </w:r>
            <w:r w:rsidR="00D407C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placés </w:t>
            </w:r>
            <w:r w:rsidR="000D2A0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sous la protection du Kankourang</w:t>
            </w:r>
            <w:r w:rsidR="00AC395D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. Le Kuyanŋ</w:t>
            </w:r>
            <w:r w:rsidR="000D2A0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est un rite initiatique marquant l’entrée des adolescents dans la vie </w:t>
            </w:r>
            <w:r w:rsidR="008F077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d’Homme. Le </w:t>
            </w:r>
            <w:r w:rsidR="00BE050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Kankourang est associé à un être  aux pouvoirs surnaturel</w:t>
            </w:r>
            <w:r w:rsidR="003B5C70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s qui </w:t>
            </w:r>
            <w:r w:rsidR="006B52F8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protège</w:t>
            </w:r>
            <w:r w:rsidR="003B5C70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les circoncis </w:t>
            </w:r>
            <w:r w:rsidR="006B52F8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de jour comme de </w:t>
            </w:r>
            <w:r w:rsidR="00262FB2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nuit. Il </w:t>
            </w:r>
            <w:r w:rsidR="000D2A0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est</w:t>
            </w:r>
            <w:r w:rsidR="00262FB2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le</w:t>
            </w:r>
            <w:r w:rsidR="000D2A0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gara</w:t>
            </w:r>
            <w:r w:rsidR="00C26CD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nt de l’ordre et de  la justice dans </w:t>
            </w:r>
            <w:r w:rsidR="0074546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la ville</w:t>
            </w:r>
            <w:r w:rsidR="00826B03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et des </w:t>
            </w:r>
            <w:r w:rsidR="00DF6DF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Circoncis. Il joue aussi le rôle de régulateur social</w:t>
            </w:r>
            <w:r w:rsidR="00C26CD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.</w:t>
            </w:r>
          </w:p>
          <w:p w14:paraId="610BEAD7" w14:textId="77777777" w:rsidR="000D2A04" w:rsidRPr="00675B85" w:rsidRDefault="000D2A04" w:rsidP="00675B85">
            <w:pPr>
              <w:spacing w:before="0" w:after="0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</w:p>
          <w:p w14:paraId="20E9DCA5" w14:textId="77777777" w:rsidR="0017302E" w:rsidRPr="00675B85" w:rsidRDefault="0017302E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</w:p>
          <w:p w14:paraId="36293C99" w14:textId="12D2D59B" w:rsidR="0017302E" w:rsidRPr="00675B85" w:rsidRDefault="0017302E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</w:p>
        </w:tc>
      </w:tr>
      <w:tr w:rsidR="00C92ED6" w:rsidRPr="00675B85" w14:paraId="6DAE9358" w14:textId="77777777" w:rsidTr="00814267">
        <w:tc>
          <w:tcPr>
            <w:tcW w:w="567" w:type="dxa"/>
            <w:shd w:val="clear" w:color="auto" w:fill="F2F2F2"/>
          </w:tcPr>
          <w:p w14:paraId="0008024B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  <w:t>2.</w:t>
            </w:r>
          </w:p>
        </w:tc>
        <w:tc>
          <w:tcPr>
            <w:tcW w:w="9139" w:type="dxa"/>
            <w:shd w:val="clear" w:color="auto" w:fill="F2F2F2"/>
          </w:tcPr>
          <w:p w14:paraId="4E4CA6FA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bCs/>
                <w:caps/>
                <w:snapToGrid/>
                <w:szCs w:val="22"/>
                <w:lang w:val="fr-FR" w:eastAsia="fr-FR"/>
              </w:rPr>
              <w:t>Caractéristiques de l’élément du PCI</w:t>
            </w:r>
          </w:p>
        </w:tc>
      </w:tr>
      <w:tr w:rsidR="00C92ED6" w:rsidRPr="00675B85" w14:paraId="0BE43642" w14:textId="77777777" w:rsidTr="00814267">
        <w:tc>
          <w:tcPr>
            <w:tcW w:w="567" w:type="dxa"/>
            <w:shd w:val="clear" w:color="auto" w:fill="auto"/>
          </w:tcPr>
          <w:p w14:paraId="5D578C3B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2.1.</w:t>
            </w:r>
          </w:p>
        </w:tc>
        <w:tc>
          <w:tcPr>
            <w:tcW w:w="9139" w:type="dxa"/>
            <w:shd w:val="clear" w:color="auto" w:fill="auto"/>
          </w:tcPr>
          <w:p w14:paraId="394D0C9D" w14:textId="77777777" w:rsidR="00130E9D" w:rsidRPr="00675B85" w:rsidRDefault="00130E9D" w:rsidP="00675B85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Praticien(s) / interprète(s) directement impliqué(s) dans la représentation ou la pratique de l’élément   du PCI (préciser nom, âge, sexe, catégorie professionnelle, etc.)</w:t>
            </w:r>
          </w:p>
          <w:p w14:paraId="4E071313" w14:textId="77777777" w:rsidR="00130E9D" w:rsidRPr="00675B85" w:rsidRDefault="00130E9D" w:rsidP="00675B85">
            <w:pPr>
              <w:spacing w:before="0" w:after="0"/>
              <w:ind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  <w:p w14:paraId="07306E3B" w14:textId="77777777" w:rsidR="00715497" w:rsidRPr="00675B85" w:rsidRDefault="004C1E12" w:rsidP="00675B85">
            <w:pPr>
              <w:spacing w:before="0" w:after="0"/>
              <w:ind w:right="113"/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>L</w:t>
            </w:r>
            <w:r w:rsidR="00B774E7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 xml:space="preserve">es sages (doyens de la </w:t>
            </w:r>
            <w:r w:rsidR="000C15A7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>communauté)</w:t>
            </w:r>
            <w:r w:rsidR="00F0366D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>, les</w:t>
            </w:r>
            <w:r w:rsidR="00AB3DD3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> « </w:t>
            </w:r>
            <w:r w:rsidR="00F0366D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 xml:space="preserve"> </w:t>
            </w:r>
            <w:r w:rsidR="008C326B" w:rsidRPr="00675B85">
              <w:rPr>
                <w:rFonts w:ascii="Times New Roman" w:hAnsi="Times New Roman" w:cs="Times New Roman"/>
                <w:b/>
                <w:bCs/>
                <w:i/>
                <w:kern w:val="28"/>
                <w:szCs w:val="22"/>
                <w:lang w:val="fr-FR" w:eastAsia="fr-FR"/>
              </w:rPr>
              <w:t>lambé</w:t>
            </w:r>
            <w:r w:rsidR="00AB3DD3" w:rsidRPr="00675B85">
              <w:rPr>
                <w:rFonts w:ascii="Times New Roman" w:hAnsi="Times New Roman" w:cs="Times New Roman"/>
                <w:b/>
                <w:bCs/>
                <w:i/>
                <w:kern w:val="28"/>
                <w:szCs w:val="22"/>
                <w:lang w:val="fr-FR" w:eastAsia="fr-FR"/>
              </w:rPr>
              <w:t> » (</w:t>
            </w:r>
            <w:r w:rsidR="00AB3DD3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>grand</w:t>
            </w:r>
            <w:r w:rsidR="00D273B2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>s accompagnateurs)</w:t>
            </w:r>
            <w:r w:rsidR="00F0366D" w:rsidRPr="00675B85">
              <w:rPr>
                <w:rFonts w:ascii="Times New Roman" w:hAnsi="Times New Roman" w:cs="Times New Roman"/>
                <w:b/>
                <w:bCs/>
                <w:i/>
                <w:kern w:val="28"/>
                <w:szCs w:val="22"/>
                <w:lang w:val="fr-FR" w:eastAsia="fr-FR"/>
              </w:rPr>
              <w:t xml:space="preserve"> </w:t>
            </w:r>
            <w:r w:rsidR="00F0366D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 xml:space="preserve">ou </w:t>
            </w:r>
            <w:r w:rsidR="00F0366D" w:rsidRPr="00675B85">
              <w:rPr>
                <w:rFonts w:ascii="Times New Roman" w:hAnsi="Times New Roman" w:cs="Times New Roman"/>
                <w:b/>
                <w:bCs/>
                <w:i/>
                <w:kern w:val="28"/>
                <w:szCs w:val="22"/>
                <w:lang w:val="fr-FR" w:eastAsia="fr-FR"/>
              </w:rPr>
              <w:t>k</w:t>
            </w:r>
            <w:r w:rsidR="00D273B2" w:rsidRPr="00675B85">
              <w:rPr>
                <w:rFonts w:ascii="Times New Roman" w:hAnsi="Times New Roman" w:cs="Times New Roman"/>
                <w:b/>
                <w:bCs/>
                <w:i/>
                <w:kern w:val="28"/>
                <w:szCs w:val="22"/>
                <w:lang w:val="fr-FR" w:eastAsia="fr-FR"/>
              </w:rPr>
              <w:t>intang</w:t>
            </w:r>
            <w:r w:rsidR="00597FD6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 xml:space="preserve">    (jeunes accompagnateurs) et </w:t>
            </w:r>
            <w:r w:rsidR="00B774E7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 xml:space="preserve">tous les </w:t>
            </w:r>
            <w:r w:rsidR="00A27222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>membres de la communauté déjà initiés</w:t>
            </w:r>
            <w:r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>.</w:t>
            </w:r>
          </w:p>
          <w:p w14:paraId="02AB979E" w14:textId="3A3E6834" w:rsidR="008C326B" w:rsidRPr="00675B85" w:rsidRDefault="008C326B" w:rsidP="00675B85">
            <w:pPr>
              <w:spacing w:before="0" w:after="0"/>
              <w:ind w:right="113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675B85" w14:paraId="4620040D" w14:textId="77777777" w:rsidTr="00814267">
        <w:tc>
          <w:tcPr>
            <w:tcW w:w="567" w:type="dxa"/>
            <w:shd w:val="clear" w:color="auto" w:fill="auto"/>
          </w:tcPr>
          <w:p w14:paraId="4D023BC0" w14:textId="4EB6947D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2.2.</w:t>
            </w:r>
          </w:p>
        </w:tc>
        <w:tc>
          <w:tcPr>
            <w:tcW w:w="9139" w:type="dxa"/>
            <w:shd w:val="clear" w:color="auto" w:fill="auto"/>
          </w:tcPr>
          <w:p w14:paraId="43D576C9" w14:textId="77777777" w:rsidR="00C92ED6" w:rsidRPr="00675B85" w:rsidRDefault="00C92ED6" w:rsidP="00675B85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14:paraId="1C6CFB2B" w14:textId="14BB3BB6" w:rsidR="001062F8" w:rsidRPr="00675B85" w:rsidRDefault="001062F8" w:rsidP="00675B85">
            <w:pPr>
              <w:pStyle w:val="Paragraphedeliste"/>
              <w:numPr>
                <w:ilvl w:val="0"/>
                <w:numId w:val="24"/>
              </w:numPr>
              <w:spacing w:before="0" w:after="0"/>
              <w:ind w:righ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Les initiés</w:t>
            </w:r>
            <w:r w:rsidR="00F5566D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sont </w:t>
            </w:r>
            <w:r w:rsidR="00B46DFF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les accompagnateurs aussi bien des jeunes circoncis que des </w:t>
            </w:r>
            <w:r w:rsidR="00BC24AB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Kankourang durant toute la</w:t>
            </w:r>
            <w:r w:rsidR="009E673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période de </w:t>
            </w:r>
            <w:r w:rsidR="00BC24AB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retraite</w:t>
            </w:r>
            <w:r w:rsidR="009E673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ou</w:t>
            </w:r>
            <w:r w:rsidR="00B46DFF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lors des </w:t>
            </w:r>
            <w:r w:rsidR="00BC24AB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lavages</w:t>
            </w:r>
            <w:r w:rsidR="009E673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.</w:t>
            </w:r>
          </w:p>
          <w:p w14:paraId="1BAFA21B" w14:textId="6573A30B" w:rsidR="00F54B47" w:rsidRPr="00675B85" w:rsidRDefault="00730A78" w:rsidP="00675B85">
            <w:pPr>
              <w:pStyle w:val="Paragraphedeliste"/>
              <w:numPr>
                <w:ilvl w:val="0"/>
                <w:numId w:val="24"/>
              </w:numPr>
              <w:spacing w:before="0" w:after="0"/>
              <w:ind w:righ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les femmes </w:t>
            </w:r>
            <w:r w:rsidR="005A0460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préparent les repas</w:t>
            </w:r>
            <w:r w:rsidR="0092765D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et participent à l’animation lors de la sortie des circoncis.</w:t>
            </w:r>
          </w:p>
          <w:p w14:paraId="69BB00F1" w14:textId="6DEE7CBF" w:rsidR="00C05CDC" w:rsidRPr="00675B85" w:rsidRDefault="00C05CDC" w:rsidP="00675B85">
            <w:pPr>
              <w:spacing w:before="0" w:after="0"/>
              <w:ind w:left="113" w:righ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675B85" w14:paraId="72E022D1" w14:textId="77777777" w:rsidTr="00814267">
        <w:tc>
          <w:tcPr>
            <w:tcW w:w="567" w:type="dxa"/>
            <w:shd w:val="clear" w:color="auto" w:fill="auto"/>
          </w:tcPr>
          <w:p w14:paraId="55485325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2.3.</w:t>
            </w:r>
          </w:p>
        </w:tc>
        <w:tc>
          <w:tcPr>
            <w:tcW w:w="9139" w:type="dxa"/>
            <w:shd w:val="clear" w:color="auto" w:fill="auto"/>
          </w:tcPr>
          <w:p w14:paraId="3F99B9F1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Langue(s) ou registre(s) de langue utilisée(s)</w:t>
            </w:r>
          </w:p>
          <w:p w14:paraId="52AA85E9" w14:textId="4EBDB0FD" w:rsidR="00F54B47" w:rsidRPr="00675B85" w:rsidRDefault="00235D41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Le mandinka</w:t>
            </w:r>
          </w:p>
        </w:tc>
      </w:tr>
      <w:tr w:rsidR="00C92ED6" w:rsidRPr="00675B85" w14:paraId="759A4B1D" w14:textId="77777777" w:rsidTr="00814267">
        <w:tc>
          <w:tcPr>
            <w:tcW w:w="567" w:type="dxa"/>
            <w:shd w:val="clear" w:color="auto" w:fill="auto"/>
          </w:tcPr>
          <w:p w14:paraId="1BA4B0B4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2.4.</w:t>
            </w:r>
          </w:p>
        </w:tc>
        <w:tc>
          <w:tcPr>
            <w:tcW w:w="9139" w:type="dxa"/>
            <w:shd w:val="clear" w:color="auto" w:fill="auto"/>
          </w:tcPr>
          <w:p w14:paraId="56688347" w14:textId="77777777" w:rsidR="00FA60CF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14:paraId="181B97C6" w14:textId="0B868143" w:rsidR="00CE262E" w:rsidRPr="00675B85" w:rsidRDefault="00235D41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les tam- tams - les </w:t>
            </w:r>
            <w:r w:rsidR="00C9640F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sifflets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– les gris - gris – tenues des batteurs  </w:t>
            </w:r>
          </w:p>
        </w:tc>
      </w:tr>
      <w:tr w:rsidR="00C92ED6" w:rsidRPr="00675B85" w14:paraId="03065CB9" w14:textId="77777777" w:rsidTr="00814267">
        <w:tc>
          <w:tcPr>
            <w:tcW w:w="567" w:type="dxa"/>
            <w:shd w:val="clear" w:color="auto" w:fill="auto"/>
          </w:tcPr>
          <w:p w14:paraId="3B407C9D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lastRenderedPageBreak/>
              <w:t>2.5.</w:t>
            </w:r>
          </w:p>
        </w:tc>
        <w:tc>
          <w:tcPr>
            <w:tcW w:w="9139" w:type="dxa"/>
            <w:shd w:val="clear" w:color="auto" w:fill="auto"/>
          </w:tcPr>
          <w:p w14:paraId="623F668B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14:paraId="33F96E39" w14:textId="399872EA" w:rsidR="0096052E" w:rsidRPr="00675B85" w:rsidRDefault="00235D41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chants et danses</w:t>
            </w:r>
            <w:r w:rsidR="00A50BC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initiatiques, et  langages codé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s</w:t>
            </w:r>
            <w:r w:rsidR="007D316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ou 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C05CD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« </w:t>
            </w:r>
            <w:r w:rsidR="00375468" w:rsidRPr="00675B85">
              <w:rPr>
                <w:rFonts w:ascii="Times New Roman" w:hAnsi="Times New Roman" w:cs="Times New Roman"/>
                <w:b/>
                <w:i/>
                <w:snapToGrid/>
                <w:szCs w:val="22"/>
                <w:lang w:val="fr-FR" w:eastAsia="fr-FR"/>
              </w:rPr>
              <w:t>Passiŋ</w:t>
            </w:r>
            <w:r w:rsidR="007D3164" w:rsidRPr="00675B85">
              <w:rPr>
                <w:rFonts w:ascii="Times New Roman" w:hAnsi="Times New Roman" w:cs="Times New Roman"/>
                <w:b/>
                <w:i/>
                <w:snapToGrid/>
                <w:szCs w:val="22"/>
                <w:lang w:val="fr-FR" w:eastAsia="fr-FR"/>
              </w:rPr>
              <w:t> </w:t>
            </w:r>
            <w:r w:rsidR="007D316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»</w:t>
            </w:r>
          </w:p>
        </w:tc>
      </w:tr>
      <w:tr w:rsidR="00C92ED6" w:rsidRPr="00675B85" w14:paraId="6D138D37" w14:textId="77777777" w:rsidTr="00814267">
        <w:tc>
          <w:tcPr>
            <w:tcW w:w="567" w:type="dxa"/>
            <w:shd w:val="clear" w:color="auto" w:fill="auto"/>
          </w:tcPr>
          <w:p w14:paraId="261FDAC8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2.6.</w:t>
            </w:r>
          </w:p>
        </w:tc>
        <w:tc>
          <w:tcPr>
            <w:tcW w:w="9139" w:type="dxa"/>
            <w:shd w:val="clear" w:color="auto" w:fill="auto"/>
          </w:tcPr>
          <w:p w14:paraId="00715457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14:paraId="2F18FFA1" w14:textId="0ED5AC14" w:rsidR="00843564" w:rsidRPr="00675B85" w:rsidRDefault="00C8753B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     </w:t>
            </w:r>
            <w:r w:rsidR="001E4DAF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Seuls peuvent </w:t>
            </w:r>
            <w:r w:rsidR="00C05CD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accéder directement  à l’enclos et participer aux processions les  initié</w:t>
            </w:r>
            <w:r w:rsidR="00C707A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s</w:t>
            </w:r>
            <w:r w:rsidR="007D316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.</w:t>
            </w:r>
          </w:p>
        </w:tc>
      </w:tr>
      <w:tr w:rsidR="00C92ED6" w:rsidRPr="00675B85" w14:paraId="21A07285" w14:textId="77777777" w:rsidTr="00814267">
        <w:tc>
          <w:tcPr>
            <w:tcW w:w="567" w:type="dxa"/>
            <w:shd w:val="clear" w:color="auto" w:fill="auto"/>
          </w:tcPr>
          <w:p w14:paraId="221D6CFF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2.7.</w:t>
            </w:r>
          </w:p>
        </w:tc>
        <w:tc>
          <w:tcPr>
            <w:tcW w:w="9139" w:type="dxa"/>
            <w:shd w:val="clear" w:color="auto" w:fill="auto"/>
          </w:tcPr>
          <w:p w14:paraId="74C73C30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Modes de transmission aux autres membres de la communauté</w:t>
            </w:r>
          </w:p>
          <w:p w14:paraId="5DEB2968" w14:textId="3EBEBAC0" w:rsidR="00843564" w:rsidRPr="00675B85" w:rsidRDefault="00183242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de </w:t>
            </w:r>
            <w:r w:rsidR="00C707A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génération</w:t>
            </w:r>
            <w:r w:rsidR="00805C08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à</w:t>
            </w:r>
            <w:r w:rsidR="007D3164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C707A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génération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par l’</w:t>
            </w:r>
            <w:r w:rsidR="00C707A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éducation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continue et permanente</w:t>
            </w:r>
            <w:r w:rsidR="00805C08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.</w:t>
            </w:r>
          </w:p>
        </w:tc>
      </w:tr>
      <w:tr w:rsidR="00C92ED6" w:rsidRPr="00675B85" w14:paraId="17691B9D" w14:textId="77777777" w:rsidTr="00814267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35615D6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2.8.</w:t>
            </w:r>
          </w:p>
        </w:tc>
        <w:tc>
          <w:tcPr>
            <w:tcW w:w="9139" w:type="dxa"/>
            <w:tcBorders>
              <w:bottom w:val="single" w:sz="4" w:space="0" w:color="auto"/>
            </w:tcBorders>
            <w:shd w:val="clear" w:color="auto" w:fill="auto"/>
          </w:tcPr>
          <w:p w14:paraId="699DBC39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Organisations concernées (organisations communautaires, ONG ou autres, le cas échéant)</w:t>
            </w:r>
          </w:p>
          <w:p w14:paraId="4E451F21" w14:textId="4367F6C9" w:rsidR="0029782F" w:rsidRPr="00675B85" w:rsidRDefault="001E4DAF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La </w:t>
            </w:r>
            <w:r w:rsidR="00183242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collectivité mandingue de Mbour</w:t>
            </w:r>
          </w:p>
          <w:p w14:paraId="38906B17" w14:textId="634AB68A" w:rsidR="0029782F" w:rsidRPr="00675B85" w:rsidRDefault="0029782F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675B85" w14:paraId="392EF967" w14:textId="77777777" w:rsidTr="00814267">
        <w:tc>
          <w:tcPr>
            <w:tcW w:w="567" w:type="dxa"/>
            <w:shd w:val="clear" w:color="auto" w:fill="F2F2F2"/>
          </w:tcPr>
          <w:p w14:paraId="365509BD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  <w:t>3.</w:t>
            </w:r>
          </w:p>
        </w:tc>
        <w:tc>
          <w:tcPr>
            <w:tcW w:w="9139" w:type="dxa"/>
            <w:shd w:val="clear" w:color="auto" w:fill="F2F2F2"/>
          </w:tcPr>
          <w:p w14:paraId="776357DF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bCs/>
                <w:caps/>
                <w:snapToGrid/>
                <w:szCs w:val="22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675B85" w14:paraId="304EC001" w14:textId="77777777" w:rsidTr="00814267">
        <w:tc>
          <w:tcPr>
            <w:tcW w:w="567" w:type="dxa"/>
            <w:shd w:val="clear" w:color="auto" w:fill="auto"/>
          </w:tcPr>
          <w:p w14:paraId="5A22B3C4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3.1.</w:t>
            </w:r>
          </w:p>
        </w:tc>
        <w:tc>
          <w:tcPr>
            <w:tcW w:w="9139" w:type="dxa"/>
            <w:shd w:val="clear" w:color="auto" w:fill="auto"/>
          </w:tcPr>
          <w:p w14:paraId="331C296D" w14:textId="77777777" w:rsidR="00C92ED6" w:rsidRPr="00675B85" w:rsidRDefault="00C92ED6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Menaces éventuelles sur la pratique permanente de l’élément dans la (les) communauté(s) concernée(s)</w:t>
            </w:r>
          </w:p>
          <w:p w14:paraId="26EC0639" w14:textId="541646D2" w:rsidR="008D6754" w:rsidRPr="00675B85" w:rsidRDefault="00227BF2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</w:t>
            </w:r>
            <w:r w:rsidR="001E4DAF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L’urbanisation galopante de la ville</w:t>
            </w:r>
          </w:p>
          <w:p w14:paraId="07632556" w14:textId="707DBB9A" w:rsidR="008E149A" w:rsidRPr="00675B85" w:rsidRDefault="00915C49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la cohabitation avec d’autres </w:t>
            </w:r>
            <w:r w:rsidR="00183242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communautés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ethniques </w:t>
            </w:r>
          </w:p>
          <w:p w14:paraId="23C7E79A" w14:textId="2942BB30" w:rsidR="008E149A" w:rsidRPr="00675B85" w:rsidRDefault="00915C49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les  lourdes charges </w:t>
            </w:r>
            <w:r w:rsidR="00183242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financières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et </w:t>
            </w:r>
            <w:r w:rsidR="00183242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matérielles</w:t>
            </w:r>
            <w:r w:rsidR="00805C08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qu’entraine </w:t>
            </w:r>
            <w:r w:rsidR="007855E8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l’organisation des </w:t>
            </w:r>
            <w:r w:rsidR="00183242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activités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183242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liées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675B8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à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l’initiation</w:t>
            </w:r>
          </w:p>
          <w:p w14:paraId="00574DC2" w14:textId="3394B389" w:rsidR="00BF2045" w:rsidRPr="00675B85" w:rsidRDefault="00BF2045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</w:p>
        </w:tc>
      </w:tr>
      <w:tr w:rsidR="00C92ED6" w:rsidRPr="00675B85" w14:paraId="5055E060" w14:textId="77777777" w:rsidTr="00814267">
        <w:tc>
          <w:tcPr>
            <w:tcW w:w="567" w:type="dxa"/>
            <w:shd w:val="clear" w:color="auto" w:fill="auto"/>
          </w:tcPr>
          <w:p w14:paraId="5828A681" w14:textId="2AA17D6E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3.2.</w:t>
            </w:r>
          </w:p>
        </w:tc>
        <w:tc>
          <w:tcPr>
            <w:tcW w:w="9139" w:type="dxa"/>
            <w:shd w:val="clear" w:color="auto" w:fill="auto"/>
          </w:tcPr>
          <w:p w14:paraId="6DF3732D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Menaces éventuelles sur la transmission de l’élément dans la (les) communauté(s) concernée(s)</w:t>
            </w:r>
          </w:p>
          <w:p w14:paraId="37940805" w14:textId="77777777" w:rsidR="003A2279" w:rsidRPr="00675B85" w:rsidRDefault="003A2279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</w:p>
          <w:p w14:paraId="2040A96C" w14:textId="04C3A8D4" w:rsidR="00483DBE" w:rsidRPr="00675B85" w:rsidRDefault="006B26FC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baisse d’intérêt de la part des jeunes qui fréquentent de mo</w:t>
            </w:r>
            <w:r w:rsidR="007855E8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ins en moins l’enclos des initié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s</w:t>
            </w:r>
          </w:p>
          <w:p w14:paraId="0D96A332" w14:textId="2F66A8D4" w:rsidR="00305B2A" w:rsidRPr="00675B85" w:rsidRDefault="006B26FC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recul de la langue mandinka dont la transmission au sein de la famille n’est plus systématique</w:t>
            </w:r>
          </w:p>
          <w:p w14:paraId="2A88774F" w14:textId="05D526C5" w:rsidR="00792B4E" w:rsidRPr="00675B85" w:rsidRDefault="00792B4E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675B85" w14:paraId="3731F716" w14:textId="77777777" w:rsidTr="00814267">
        <w:tc>
          <w:tcPr>
            <w:tcW w:w="567" w:type="dxa"/>
            <w:shd w:val="clear" w:color="auto" w:fill="auto"/>
          </w:tcPr>
          <w:p w14:paraId="098D9214" w14:textId="66FF71A1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3.3.</w:t>
            </w:r>
          </w:p>
        </w:tc>
        <w:tc>
          <w:tcPr>
            <w:tcW w:w="9139" w:type="dxa"/>
            <w:shd w:val="clear" w:color="auto" w:fill="auto"/>
          </w:tcPr>
          <w:p w14:paraId="218A47D7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14:paraId="751D704D" w14:textId="77777777" w:rsidR="001E4DAF" w:rsidRPr="00675B85" w:rsidRDefault="001E4DAF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</w:p>
          <w:p w14:paraId="54EDD60E" w14:textId="2E4B00A4" w:rsidR="005818D7" w:rsidRPr="00675B85" w:rsidRDefault="003A2279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La </w:t>
            </w:r>
            <w:r w:rsidR="0067708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déforestation  qui entraine la raréfaction des fibres (qui entrent dans la composition de la vêture  du Kankourang) et du bois qui sert à</w:t>
            </w:r>
            <w:r w:rsidR="00CA5163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la cuisson des repas des initié</w:t>
            </w:r>
            <w:r w:rsidR="0067708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s. </w:t>
            </w:r>
          </w:p>
          <w:p w14:paraId="6472F380" w14:textId="77777777" w:rsidR="004318E3" w:rsidRPr="00675B85" w:rsidRDefault="004318E3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</w:p>
          <w:p w14:paraId="1729BC85" w14:textId="20BAD07E" w:rsidR="00062202" w:rsidRPr="00675B85" w:rsidRDefault="00062202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675B85" w14:paraId="073551B6" w14:textId="77777777" w:rsidTr="00814267">
        <w:tc>
          <w:tcPr>
            <w:tcW w:w="567" w:type="dxa"/>
            <w:shd w:val="clear" w:color="auto" w:fill="auto"/>
          </w:tcPr>
          <w:p w14:paraId="12E0C662" w14:textId="28F45423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3.4.</w:t>
            </w:r>
          </w:p>
        </w:tc>
        <w:tc>
          <w:tcPr>
            <w:tcW w:w="9139" w:type="dxa"/>
            <w:shd w:val="clear" w:color="auto" w:fill="auto"/>
          </w:tcPr>
          <w:p w14:paraId="3D8D126B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Viabilité des autres éléments du patrimoine immatériel (le cas échéant) associés à l’élément du PCI</w:t>
            </w:r>
          </w:p>
          <w:p w14:paraId="54276AB4" w14:textId="19C8F7BD" w:rsidR="00A93083" w:rsidRPr="00675B85" w:rsidRDefault="00677085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 xml:space="preserve">les chants et danses  continuent </w:t>
            </w:r>
            <w:r w:rsidR="00A9256D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>à</w:t>
            </w:r>
            <w:r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 xml:space="preserve"> circuler y compris dans des cadres ludiques et folkloriques : ballets, </w:t>
            </w:r>
            <w:r w:rsidR="00A9256D"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>théâtre</w:t>
            </w:r>
            <w:r w:rsidRPr="00675B85">
              <w:rPr>
                <w:rFonts w:ascii="Times New Roman" w:hAnsi="Times New Roman" w:cs="Times New Roman"/>
                <w:b/>
                <w:bCs/>
                <w:kern w:val="28"/>
                <w:szCs w:val="22"/>
                <w:lang w:val="fr-FR" w:eastAsia="fr-FR"/>
              </w:rPr>
              <w:t xml:space="preserve"> populaire, groupe de musique</w:t>
            </w:r>
          </w:p>
        </w:tc>
      </w:tr>
      <w:tr w:rsidR="00C92ED6" w:rsidRPr="00675B85" w14:paraId="0D6C443A" w14:textId="77777777" w:rsidTr="00814267">
        <w:trPr>
          <w:trHeight w:val="101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38C7030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3.5.</w:t>
            </w:r>
          </w:p>
        </w:tc>
        <w:tc>
          <w:tcPr>
            <w:tcW w:w="9139" w:type="dxa"/>
            <w:tcBorders>
              <w:bottom w:val="single" w:sz="4" w:space="0" w:color="auto"/>
            </w:tcBorders>
            <w:shd w:val="clear" w:color="auto" w:fill="auto"/>
          </w:tcPr>
          <w:p w14:paraId="31FAB89A" w14:textId="77777777" w:rsidR="00C92ED6" w:rsidRPr="00675B85" w:rsidRDefault="00C92ED6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14:paraId="44B84AEA" w14:textId="77777777" w:rsidR="00A015B5" w:rsidRPr="00675B85" w:rsidRDefault="00A015B5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</w:p>
          <w:p w14:paraId="645D15A3" w14:textId="5597102D" w:rsidR="0005302A" w:rsidRPr="00675B85" w:rsidRDefault="00A015B5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La </w:t>
            </w:r>
            <w:r w:rsidR="005B3D67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réouverture </w:t>
            </w:r>
            <w:r w:rsidR="008435E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de l’espace Kankourang (écomusée) a Mbour</w:t>
            </w:r>
          </w:p>
          <w:p w14:paraId="5798C339" w14:textId="515BAAE7" w:rsidR="005273C0" w:rsidRPr="00675B85" w:rsidRDefault="00A015B5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Appui financier annuel de l’E</w:t>
            </w:r>
            <w:r w:rsidR="008435E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tat pour l’organisation du 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Kankourang</w:t>
            </w:r>
          </w:p>
          <w:p w14:paraId="7A88CCC9" w14:textId="70F255DB" w:rsidR="001E1E04" w:rsidRPr="00675B85" w:rsidRDefault="008435EC" w:rsidP="00675B85">
            <w:pPr>
              <w:spacing w:before="0" w:after="0"/>
              <w:ind w:right="57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</w:p>
          <w:p w14:paraId="5DB89656" w14:textId="77777777" w:rsidR="001E1E04" w:rsidRPr="00675B85" w:rsidRDefault="001E1E04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675B85" w14:paraId="682003BF" w14:textId="77777777" w:rsidTr="00814267">
        <w:tc>
          <w:tcPr>
            <w:tcW w:w="567" w:type="dxa"/>
            <w:shd w:val="clear" w:color="auto" w:fill="F2F2F2"/>
          </w:tcPr>
          <w:p w14:paraId="0D821687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  <w:t>4.</w:t>
            </w:r>
          </w:p>
        </w:tc>
        <w:tc>
          <w:tcPr>
            <w:tcW w:w="9139" w:type="dxa"/>
            <w:shd w:val="clear" w:color="auto" w:fill="F2F2F2"/>
          </w:tcPr>
          <w:p w14:paraId="52A6E806" w14:textId="77777777" w:rsidR="00C92ED6" w:rsidRPr="00675B85" w:rsidRDefault="00F25AE7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bCs/>
                <w:caps/>
                <w:snapToGrid/>
                <w:szCs w:val="22"/>
                <w:lang w:val="fr-FR" w:eastAsia="fr-FR"/>
              </w:rPr>
              <w:t>ACCES RESTREINT AUX DONNEES ET AUTORISATIONS</w:t>
            </w:r>
            <w:r w:rsidR="00C92ED6" w:rsidRPr="00675B85">
              <w:rPr>
                <w:rFonts w:ascii="Times New Roman" w:hAnsi="Times New Roman" w:cs="Times New Roman"/>
                <w:b/>
                <w:bCs/>
                <w:caps/>
                <w:snapToGrid/>
                <w:szCs w:val="22"/>
                <w:lang w:val="fr-FR" w:eastAsia="fr-FR"/>
              </w:rPr>
              <w:t xml:space="preserve"> </w:t>
            </w:r>
          </w:p>
        </w:tc>
      </w:tr>
      <w:tr w:rsidR="00C92ED6" w:rsidRPr="00675B85" w14:paraId="01327025" w14:textId="77777777" w:rsidTr="00814267">
        <w:tc>
          <w:tcPr>
            <w:tcW w:w="567" w:type="dxa"/>
            <w:shd w:val="clear" w:color="auto" w:fill="auto"/>
          </w:tcPr>
          <w:p w14:paraId="2F3CA0DC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4.1.</w:t>
            </w:r>
          </w:p>
        </w:tc>
        <w:tc>
          <w:tcPr>
            <w:tcW w:w="9139" w:type="dxa"/>
            <w:shd w:val="clear" w:color="auto" w:fill="auto"/>
          </w:tcPr>
          <w:p w14:paraId="61BEE3FF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Consentement et participation de la (des) communauté(s) concernée(s) au recueil des données</w:t>
            </w:r>
          </w:p>
          <w:p w14:paraId="43F3F608" w14:textId="5DEA4AC9" w:rsidR="009B3E68" w:rsidRPr="00675B85" w:rsidRDefault="00937539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La </w:t>
            </w:r>
            <w:r w:rsidR="006C40DE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collecte est faite avec le consentement la participation de la communauté : entretien et visite de l’espace </w:t>
            </w:r>
            <w:r w:rsidR="00F3772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Kankourang</w:t>
            </w:r>
            <w:r w:rsidR="006C40DE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avec des membres du bureau</w:t>
            </w:r>
            <w:r w:rsidR="00F3772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de la communauté</w:t>
            </w:r>
          </w:p>
        </w:tc>
      </w:tr>
      <w:tr w:rsidR="00C92ED6" w:rsidRPr="00675B85" w14:paraId="1C72236F" w14:textId="77777777" w:rsidTr="00814267">
        <w:tc>
          <w:tcPr>
            <w:tcW w:w="567" w:type="dxa"/>
            <w:shd w:val="clear" w:color="auto" w:fill="auto"/>
          </w:tcPr>
          <w:p w14:paraId="0704E9C0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4.2.</w:t>
            </w:r>
          </w:p>
        </w:tc>
        <w:tc>
          <w:tcPr>
            <w:tcW w:w="9139" w:type="dxa"/>
            <w:shd w:val="clear" w:color="auto" w:fill="auto"/>
          </w:tcPr>
          <w:p w14:paraId="4978C56F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Restrictions et autorisations concernant les données</w:t>
            </w:r>
          </w:p>
          <w:p w14:paraId="628827F7" w14:textId="2F1443B6" w:rsidR="009B3E68" w:rsidRPr="00675B85" w:rsidRDefault="00696D25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Pas de possibilité de filmer ou de pho</w:t>
            </w:r>
            <w:r w:rsidR="001B3DC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tographier 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le </w:t>
            </w:r>
            <w:r w:rsidR="001B3DC5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Kankourang à Mbour </w:t>
            </w:r>
          </w:p>
        </w:tc>
      </w:tr>
      <w:tr w:rsidR="00C92ED6" w:rsidRPr="00675B85" w14:paraId="0AAA9234" w14:textId="77777777" w:rsidTr="00814267">
        <w:tc>
          <w:tcPr>
            <w:tcW w:w="567" w:type="dxa"/>
            <w:shd w:val="clear" w:color="auto" w:fill="auto"/>
          </w:tcPr>
          <w:p w14:paraId="61C61C4F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4.3.</w:t>
            </w:r>
          </w:p>
        </w:tc>
        <w:tc>
          <w:tcPr>
            <w:tcW w:w="9139" w:type="dxa"/>
            <w:shd w:val="clear" w:color="auto" w:fill="auto"/>
          </w:tcPr>
          <w:p w14:paraId="66951963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Personne(s) ressource(s) : nom et statut </w:t>
            </w:r>
          </w:p>
          <w:p w14:paraId="0169E05C" w14:textId="28662530" w:rsidR="000D411A" w:rsidRPr="00675B85" w:rsidRDefault="00E87D99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 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- C</w:t>
            </w:r>
            <w:r w:rsidR="000659A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heikhou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D</w:t>
            </w:r>
            <w:r w:rsidR="000659A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abo</w:t>
            </w:r>
            <w:r w:rsidR="00F63F3B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A956B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Secrétaire</w:t>
            </w:r>
            <w:r w:rsidR="00F63F3B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G</w:t>
            </w:r>
            <w:r w:rsidR="00A956B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éné</w:t>
            </w:r>
            <w:r w:rsidR="00F63F3B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ral</w:t>
            </w:r>
            <w:r w:rsidR="00A956BA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de la collectivité mandingue</w:t>
            </w:r>
            <w:r w:rsidR="00F63F3B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</w:p>
          <w:p w14:paraId="45E5B5B0" w14:textId="7255C408" w:rsidR="000D411A" w:rsidRPr="00675B85" w:rsidRDefault="00E87D99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8A48A3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–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0659AC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Ablaye  S</w:t>
            </w:r>
            <w:r w:rsidR="000659A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agna</w:t>
            </w:r>
            <w:r w:rsidR="00ED5D08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="00FE213E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Président</w:t>
            </w:r>
            <w:r w:rsidR="00ED5D08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de la commission culturel</w:t>
            </w:r>
            <w:r w:rsidR="00FE213E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le</w:t>
            </w:r>
          </w:p>
          <w:p w14:paraId="0838EB61" w14:textId="353B0633" w:rsidR="00E87D99" w:rsidRPr="00675B85" w:rsidRDefault="008A48A3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– E</w:t>
            </w:r>
            <w:r w:rsidR="007D7B77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l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H</w:t>
            </w:r>
            <w:r w:rsidR="007D7B77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adji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B</w:t>
            </w:r>
            <w:r w:rsidR="007D7B77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oubacar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D</w:t>
            </w:r>
            <w:r w:rsidR="007D7B77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iabang</w:t>
            </w:r>
            <w:r w:rsidR="00FE213E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Président de la collectivité mandingue de Mbour</w:t>
            </w:r>
          </w:p>
        </w:tc>
      </w:tr>
      <w:tr w:rsidR="00C92ED6" w:rsidRPr="00675B85" w14:paraId="1E22746D" w14:textId="77777777" w:rsidTr="00814267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CB77D94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4.4.</w:t>
            </w:r>
          </w:p>
        </w:tc>
        <w:tc>
          <w:tcPr>
            <w:tcW w:w="9139" w:type="dxa"/>
            <w:tcBorders>
              <w:bottom w:val="single" w:sz="4" w:space="0" w:color="auto"/>
            </w:tcBorders>
            <w:shd w:val="clear" w:color="auto" w:fill="auto"/>
          </w:tcPr>
          <w:p w14:paraId="1669CC76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Date(s) et lieu(x) de recueil des données</w:t>
            </w:r>
          </w:p>
          <w:p w14:paraId="36596272" w14:textId="1B5D25BC" w:rsidR="008A48A3" w:rsidRPr="00675B85" w:rsidRDefault="007D7B77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Mbour, lundi 08 avril 2019</w:t>
            </w:r>
          </w:p>
        </w:tc>
      </w:tr>
      <w:tr w:rsidR="00C92ED6" w:rsidRPr="00675B85" w14:paraId="7FC8997F" w14:textId="77777777" w:rsidTr="00814267">
        <w:tc>
          <w:tcPr>
            <w:tcW w:w="567" w:type="dxa"/>
            <w:shd w:val="clear" w:color="auto" w:fill="F2F2F2"/>
          </w:tcPr>
          <w:p w14:paraId="2AD9383D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  <w:t>5.</w:t>
            </w:r>
          </w:p>
        </w:tc>
        <w:tc>
          <w:tcPr>
            <w:tcW w:w="9139" w:type="dxa"/>
            <w:shd w:val="clear" w:color="auto" w:fill="F2F2F2"/>
          </w:tcPr>
          <w:p w14:paraId="6A4F504D" w14:textId="271EE0D0" w:rsidR="00C92ED6" w:rsidRPr="001553D4" w:rsidRDefault="001553D4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Cs/>
                <w:caps/>
                <w:szCs w:val="22"/>
                <w:lang w:val="fr-FR" w:eastAsia="fr-FR"/>
              </w:rPr>
            </w:pPr>
            <w:r w:rsidRPr="001553D4">
              <w:rPr>
                <w:rFonts w:ascii="Times New Roman" w:hAnsi="Times New Roman" w:cs="Times New Roman"/>
                <w:bCs/>
                <w:snapToGrid/>
                <w:szCs w:val="22"/>
                <w:lang w:val="fr-FR" w:eastAsia="fr-FR"/>
              </w:rPr>
              <w:t>Références</w:t>
            </w:r>
            <w:r w:rsidR="007D7B77" w:rsidRPr="001553D4">
              <w:rPr>
                <w:rFonts w:ascii="Times New Roman" w:hAnsi="Times New Roman" w:cs="Times New Roman"/>
                <w:bCs/>
                <w:snapToGrid/>
                <w:szCs w:val="22"/>
                <w:lang w:val="fr-FR" w:eastAsia="fr-FR"/>
              </w:rPr>
              <w:t xml:space="preserve"> relatives </w:t>
            </w:r>
            <w:r w:rsidRPr="001553D4">
              <w:rPr>
                <w:rFonts w:ascii="Times New Roman" w:hAnsi="Times New Roman" w:cs="Times New Roman"/>
                <w:bCs/>
                <w:snapToGrid/>
                <w:szCs w:val="22"/>
                <w:lang w:val="fr-FR" w:eastAsia="fr-FR"/>
              </w:rPr>
              <w:t>à</w:t>
            </w:r>
            <w:r w:rsidR="007D7B77" w:rsidRPr="001553D4">
              <w:rPr>
                <w:rFonts w:ascii="Times New Roman" w:hAnsi="Times New Roman" w:cs="Times New Roman"/>
                <w:bCs/>
                <w:snapToGrid/>
                <w:szCs w:val="22"/>
                <w:lang w:val="fr-FR" w:eastAsia="fr-FR"/>
              </w:rPr>
              <w:t xml:space="preserve"> l’element du pci (le cas </w:t>
            </w:r>
            <w:r w:rsidRPr="001553D4">
              <w:rPr>
                <w:rFonts w:ascii="Times New Roman" w:hAnsi="Times New Roman" w:cs="Times New Roman"/>
                <w:bCs/>
                <w:snapToGrid/>
                <w:szCs w:val="22"/>
                <w:lang w:val="fr-FR" w:eastAsia="fr-FR"/>
              </w:rPr>
              <w:t>échéant</w:t>
            </w:r>
            <w:r w:rsidR="007D7B77" w:rsidRPr="001553D4">
              <w:rPr>
                <w:rFonts w:ascii="Times New Roman" w:hAnsi="Times New Roman" w:cs="Times New Roman"/>
                <w:bCs/>
                <w:snapToGrid/>
                <w:szCs w:val="22"/>
                <w:lang w:val="fr-FR" w:eastAsia="fr-FR"/>
              </w:rPr>
              <w:t>)</w:t>
            </w:r>
          </w:p>
        </w:tc>
      </w:tr>
      <w:tr w:rsidR="00C92ED6" w:rsidRPr="00675B85" w14:paraId="1EF67487" w14:textId="77777777" w:rsidTr="00814267">
        <w:trPr>
          <w:trHeight w:val="4326"/>
        </w:trPr>
        <w:tc>
          <w:tcPr>
            <w:tcW w:w="567" w:type="dxa"/>
            <w:shd w:val="clear" w:color="auto" w:fill="auto"/>
          </w:tcPr>
          <w:p w14:paraId="4DB5A32F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lastRenderedPageBreak/>
              <w:t>5.1.</w:t>
            </w:r>
          </w:p>
        </w:tc>
        <w:tc>
          <w:tcPr>
            <w:tcW w:w="9139" w:type="dxa"/>
            <w:shd w:val="clear" w:color="auto" w:fill="auto"/>
          </w:tcPr>
          <w:p w14:paraId="22CA548A" w14:textId="77777777" w:rsidR="00EC644B" w:rsidRPr="00675B85" w:rsidRDefault="00172A30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Monographies / Manuscrits</w:t>
            </w:r>
            <w:r w:rsidR="00A16589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conservés dans des bibliothèques, librairies ou détenus par des particuliers</w:t>
            </w:r>
          </w:p>
          <w:p w14:paraId="36372B4C" w14:textId="24F1B2C5" w:rsidR="00EC644B" w:rsidRPr="00675B85" w:rsidRDefault="00B6356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u w:val="single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u w:val="single"/>
                <w:lang w:val="fr-FR" w:eastAsia="fr-FR"/>
              </w:rPr>
              <w:t>Ouvrages généraux</w:t>
            </w:r>
          </w:p>
          <w:p w14:paraId="522C5EFC" w14:textId="3F7AE081" w:rsidR="00644EA2" w:rsidRPr="00675B85" w:rsidRDefault="00644EA2" w:rsidP="00675B85">
            <w:pPr>
              <w:tabs>
                <w:tab w:val="clear" w:pos="567"/>
              </w:tabs>
              <w:snapToGrid/>
              <w:spacing w:before="0" w:after="200"/>
              <w:jc w:val="left"/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</w:pPr>
            <w:r w:rsidRPr="00644EA2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>-Niane  Djibril  Tamsir </w:t>
            </w:r>
            <w:r w:rsidR="003136B8" w:rsidRPr="00675B85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>: Les</w:t>
            </w:r>
            <w:r w:rsidRPr="00644EA2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 xml:space="preserve">  Mandingues   de l’ouest,  Karthala, Paris  - 1990</w:t>
            </w:r>
          </w:p>
          <w:p w14:paraId="580FD7B9" w14:textId="77777777" w:rsidR="003136B8" w:rsidRPr="00675B85" w:rsidRDefault="003136B8" w:rsidP="00675B85">
            <w:pPr>
              <w:tabs>
                <w:tab w:val="clear" w:pos="567"/>
              </w:tabs>
              <w:snapToGrid/>
              <w:spacing w:before="0" w:after="200"/>
              <w:jc w:val="left"/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</w:pPr>
            <w:r w:rsidRPr="003136B8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>-Dabo   Sadibou : Musique traditionnelle et  Civilisation  orale chez les Mandingues, Harmattan, Paris- Décembre  2014</w:t>
            </w:r>
          </w:p>
          <w:p w14:paraId="31CDFD74" w14:textId="77777777" w:rsidR="00B63566" w:rsidRPr="00B63566" w:rsidRDefault="00B63566" w:rsidP="00675B85">
            <w:pPr>
              <w:tabs>
                <w:tab w:val="clear" w:pos="567"/>
              </w:tabs>
              <w:snapToGrid/>
              <w:spacing w:before="0" w:after="200"/>
              <w:jc w:val="left"/>
              <w:rPr>
                <w:rFonts w:ascii="Times New Roman" w:eastAsia="Calibri" w:hAnsi="Times New Roman" w:cs="Times New Roman"/>
                <w:b/>
                <w:snapToGrid/>
                <w:szCs w:val="22"/>
                <w:u w:val="single"/>
                <w:lang w:val="fr-FR" w:eastAsia="en-US"/>
              </w:rPr>
            </w:pPr>
            <w:r w:rsidRPr="00B63566">
              <w:rPr>
                <w:rFonts w:ascii="Times New Roman" w:eastAsia="Calibri" w:hAnsi="Times New Roman" w:cs="Times New Roman"/>
                <w:b/>
                <w:snapToGrid/>
                <w:szCs w:val="22"/>
                <w:u w:val="single"/>
                <w:lang w:val="fr-FR" w:eastAsia="en-US"/>
              </w:rPr>
              <w:t>Mémoires</w:t>
            </w:r>
          </w:p>
          <w:p w14:paraId="5BC1F5B8" w14:textId="45B30DDA" w:rsidR="00CB6A00" w:rsidRPr="00CB6A00" w:rsidRDefault="00B63566" w:rsidP="00675B85">
            <w:pPr>
              <w:tabs>
                <w:tab w:val="clear" w:pos="567"/>
              </w:tabs>
              <w:snapToGrid/>
              <w:spacing w:before="0" w:after="200"/>
              <w:jc w:val="left"/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</w:pPr>
            <w:r w:rsidRPr="00B63566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>-Dabo  Sadibou </w:t>
            </w:r>
            <w:r w:rsidRPr="00675B85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>: Ethnicité</w:t>
            </w:r>
            <w:r w:rsidRPr="00B63566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 xml:space="preserve"> et Urbanisation : Les  Manding de </w:t>
            </w:r>
            <w:r w:rsidRPr="00675B85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>MBuur (</w:t>
            </w:r>
            <w:r w:rsidRPr="00B63566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 xml:space="preserve">XIXème-XXème s), mémoire de maitrise </w:t>
            </w:r>
            <w:r w:rsidRPr="00675B85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>d’histoire,</w:t>
            </w:r>
            <w:r w:rsidRPr="00B63566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 xml:space="preserve"> 1993/1994, Ucad- Dakar</w:t>
            </w:r>
          </w:p>
          <w:p w14:paraId="3AFC703B" w14:textId="68EBEE8E" w:rsidR="00CB6A00" w:rsidRPr="00CB6A00" w:rsidRDefault="00CB6A00" w:rsidP="00675B85">
            <w:pPr>
              <w:tabs>
                <w:tab w:val="clear" w:pos="567"/>
              </w:tabs>
              <w:snapToGrid/>
              <w:spacing w:before="0" w:after="200"/>
              <w:jc w:val="left"/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</w:pPr>
            <w:r w:rsidRPr="00CB6A00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 xml:space="preserve">-N’diaye  Moussé  Wade : Le </w:t>
            </w:r>
            <w:r w:rsidRPr="00675B85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>Kankourang</w:t>
            </w:r>
            <w:r w:rsidRPr="00CB6A00">
              <w:rPr>
                <w:rFonts w:ascii="Times New Roman" w:eastAsia="Calibri" w:hAnsi="Times New Roman" w:cs="Times New Roman"/>
                <w:snapToGrid/>
                <w:szCs w:val="22"/>
                <w:lang w:val="fr-FR" w:eastAsia="en-US"/>
              </w:rPr>
              <w:t xml:space="preserve"> de M’Bour : Origines, Evolution et Fonctions sociales, mémoire de master II, Année universitaire 2010-2011, Ucad, Dakar</w:t>
            </w:r>
          </w:p>
          <w:p w14:paraId="4C421A44" w14:textId="3F936119" w:rsidR="00C05CDC" w:rsidRPr="00675B85" w:rsidRDefault="00C05CDC" w:rsidP="00675B85">
            <w:pPr>
              <w:spacing w:before="0" w:after="0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</w:p>
        </w:tc>
      </w:tr>
      <w:tr w:rsidR="00C92ED6" w:rsidRPr="00675B85" w14:paraId="4BF5BCC5" w14:textId="77777777" w:rsidTr="00814267">
        <w:tc>
          <w:tcPr>
            <w:tcW w:w="567" w:type="dxa"/>
            <w:shd w:val="clear" w:color="auto" w:fill="auto"/>
          </w:tcPr>
          <w:p w14:paraId="6FE12001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5.2.</w:t>
            </w:r>
          </w:p>
        </w:tc>
        <w:tc>
          <w:tcPr>
            <w:tcW w:w="9139" w:type="dxa"/>
            <w:shd w:val="clear" w:color="auto" w:fill="auto"/>
          </w:tcPr>
          <w:p w14:paraId="562B7221" w14:textId="77777777" w:rsidR="00C92ED6" w:rsidRPr="00675B85" w:rsidRDefault="00A16589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Enregistrements</w:t>
            </w:r>
            <w:r w:rsidR="00C92ED6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audiovisuel</w:t>
            </w: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s</w:t>
            </w:r>
            <w:r w:rsidR="00C92ED6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conservés dans des archives, musées et collections privées (le cas échéant)</w:t>
            </w:r>
          </w:p>
          <w:p w14:paraId="2A95B2B6" w14:textId="60445510" w:rsidR="00E66B04" w:rsidRPr="00675B85" w:rsidRDefault="00E66B04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</w:p>
        </w:tc>
      </w:tr>
      <w:tr w:rsidR="00C92ED6" w:rsidRPr="00675B85" w14:paraId="043971B4" w14:textId="77777777" w:rsidTr="00814267">
        <w:tc>
          <w:tcPr>
            <w:tcW w:w="567" w:type="dxa"/>
            <w:shd w:val="clear" w:color="auto" w:fill="auto"/>
          </w:tcPr>
          <w:p w14:paraId="2D57A470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5.3.</w:t>
            </w:r>
          </w:p>
        </w:tc>
        <w:tc>
          <w:tcPr>
            <w:tcW w:w="9139" w:type="dxa"/>
            <w:shd w:val="clear" w:color="auto" w:fill="auto"/>
          </w:tcPr>
          <w:p w14:paraId="1812D893" w14:textId="77777777" w:rsidR="00821F88" w:rsidRPr="00675B85" w:rsidRDefault="00A16589" w:rsidP="00675B85">
            <w:pPr>
              <w:spacing w:before="0" w:after="0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O</w:t>
            </w:r>
            <w:r w:rsidR="00C92ED6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bjets conservés dans des archives, musées et collections privées (le cas échéant)</w:t>
            </w:r>
          </w:p>
          <w:p w14:paraId="164C327C" w14:textId="13615552" w:rsidR="00274A0D" w:rsidRPr="00675B85" w:rsidRDefault="00274A0D" w:rsidP="00675B85">
            <w:pPr>
              <w:spacing w:before="0" w:after="0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</w:p>
        </w:tc>
      </w:tr>
      <w:tr w:rsidR="00C92ED6" w:rsidRPr="00675B85" w14:paraId="54EFB5FC" w14:textId="77777777" w:rsidTr="00814267">
        <w:tc>
          <w:tcPr>
            <w:tcW w:w="567" w:type="dxa"/>
            <w:shd w:val="clear" w:color="auto" w:fill="F2F2F2"/>
          </w:tcPr>
          <w:p w14:paraId="2ACBB1C7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zCs w:val="22"/>
                <w:lang w:val="fr-FR" w:eastAsia="fr-FR"/>
              </w:rPr>
              <w:t>6.</w:t>
            </w:r>
          </w:p>
        </w:tc>
        <w:tc>
          <w:tcPr>
            <w:tcW w:w="9139" w:type="dxa"/>
            <w:shd w:val="clear" w:color="auto" w:fill="F2F2F2"/>
          </w:tcPr>
          <w:p w14:paraId="636FD949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bCs/>
                <w:caps/>
                <w:snapToGrid/>
                <w:szCs w:val="22"/>
                <w:lang w:val="en-GB" w:eastAsia="fr-FR"/>
              </w:rPr>
              <w:t>Données d’inventaire</w:t>
            </w:r>
          </w:p>
        </w:tc>
      </w:tr>
      <w:tr w:rsidR="00C92ED6" w:rsidRPr="00675B85" w14:paraId="4035D5A2" w14:textId="77777777" w:rsidTr="00814267">
        <w:tc>
          <w:tcPr>
            <w:tcW w:w="567" w:type="dxa"/>
            <w:shd w:val="clear" w:color="auto" w:fill="auto"/>
          </w:tcPr>
          <w:p w14:paraId="0B25770A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6.1.</w:t>
            </w:r>
          </w:p>
        </w:tc>
        <w:tc>
          <w:tcPr>
            <w:tcW w:w="9139" w:type="dxa"/>
            <w:shd w:val="clear" w:color="auto" w:fill="auto"/>
          </w:tcPr>
          <w:p w14:paraId="074DBFB6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Nom </w:t>
            </w:r>
            <w:r w:rsidR="00F355F4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et contacts </w:t>
            </w: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de la pe</w:t>
            </w:r>
            <w:r w:rsidR="00172A30"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rsonne(s) ayant compilé les données</w:t>
            </w: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de l’inventaire</w:t>
            </w:r>
          </w:p>
          <w:p w14:paraId="4C202A14" w14:textId="74BB2507" w:rsidR="00D330E7" w:rsidRPr="00675B85" w:rsidRDefault="00383D6C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SAMBA </w:t>
            </w:r>
            <w:r w:rsidR="00EA0707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KANDE, Animateur</w:t>
            </w:r>
            <w:r w:rsidR="00D330E7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culturel</w:t>
            </w:r>
            <w:r w:rsidR="00447529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en service au</w:t>
            </w:r>
            <w:r w:rsidR="009034AC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Centre culturel Régional de THIES</w:t>
            </w:r>
            <w:r w:rsidR="000C427D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776483904</w:t>
            </w:r>
          </w:p>
          <w:p w14:paraId="37548317" w14:textId="7F0C80CC" w:rsidR="00383D6C" w:rsidRPr="00675B85" w:rsidRDefault="009034AC" w:rsidP="00675B85">
            <w:pPr>
              <w:spacing w:before="0" w:after="0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 xml:space="preserve"> 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SADIBOU DABO Président de la commission éducation</w:t>
            </w:r>
            <w:r w:rsidR="00444986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et formation  de la</w:t>
            </w:r>
            <w:r w:rsidR="00EA0707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co</w:t>
            </w:r>
            <w:r w:rsidR="00444986"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llectivité mandingue de Mbour et co</w:t>
            </w: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nservateur de l’espace Kankourang</w:t>
            </w:r>
            <w:r w:rsidR="000C427D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 xml:space="preserve"> 774309367</w:t>
            </w:r>
          </w:p>
        </w:tc>
      </w:tr>
      <w:tr w:rsidR="00C92ED6" w:rsidRPr="00675B85" w14:paraId="75FB06DF" w14:textId="77777777" w:rsidTr="00814267">
        <w:tc>
          <w:tcPr>
            <w:tcW w:w="567" w:type="dxa"/>
            <w:shd w:val="clear" w:color="auto" w:fill="auto"/>
          </w:tcPr>
          <w:p w14:paraId="6C517E3E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6.2.</w:t>
            </w:r>
          </w:p>
        </w:tc>
        <w:tc>
          <w:tcPr>
            <w:tcW w:w="9139" w:type="dxa"/>
            <w:shd w:val="clear" w:color="auto" w:fill="auto"/>
          </w:tcPr>
          <w:p w14:paraId="4F4C6569" w14:textId="77777777" w:rsidR="00C92ED6" w:rsidRPr="00675B85" w:rsidRDefault="00C92ED6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14:paraId="0D64FAED" w14:textId="15FE0E42" w:rsidR="000D411A" w:rsidRPr="00675B85" w:rsidRDefault="00406AD4" w:rsidP="00675B85">
            <w:pPr>
              <w:spacing w:before="0" w:after="0"/>
              <w:ind w:left="113" w:right="57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Attestation  délivrée par la communauté</w:t>
            </w:r>
          </w:p>
        </w:tc>
      </w:tr>
      <w:tr w:rsidR="00C92ED6" w:rsidRPr="00675B85" w14:paraId="1502BBEA" w14:textId="77777777" w:rsidTr="00814267">
        <w:tc>
          <w:tcPr>
            <w:tcW w:w="567" w:type="dxa"/>
            <w:shd w:val="clear" w:color="auto" w:fill="auto"/>
          </w:tcPr>
          <w:p w14:paraId="3A43A2BB" w14:textId="77777777" w:rsidR="00C92ED6" w:rsidRPr="00675B85" w:rsidRDefault="00C92ED6" w:rsidP="00675B85">
            <w:pPr>
              <w:spacing w:before="0" w:after="0"/>
              <w:jc w:val="righ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zCs w:val="22"/>
                <w:lang w:val="fr-FR" w:eastAsia="fr-FR"/>
              </w:rPr>
              <w:t>6.3.</w:t>
            </w:r>
          </w:p>
        </w:tc>
        <w:tc>
          <w:tcPr>
            <w:tcW w:w="9139" w:type="dxa"/>
            <w:shd w:val="clear" w:color="auto" w:fill="auto"/>
          </w:tcPr>
          <w:p w14:paraId="0917B721" w14:textId="77777777" w:rsidR="00C92ED6" w:rsidRPr="00675B85" w:rsidRDefault="00C92ED6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snapToGrid/>
                <w:szCs w:val="22"/>
                <w:lang w:val="fr-FR" w:eastAsia="fr-FR"/>
              </w:rPr>
              <w:t>Date d’enregistrement des données à l’inventaire</w:t>
            </w:r>
          </w:p>
          <w:p w14:paraId="4FC6B461" w14:textId="31B51187" w:rsidR="00383D6C" w:rsidRPr="00675B85" w:rsidRDefault="00707F39" w:rsidP="00675B85">
            <w:pPr>
              <w:spacing w:before="0" w:after="0"/>
              <w:ind w:left="113"/>
              <w:jc w:val="left"/>
              <w:rPr>
                <w:rFonts w:ascii="Times New Roman" w:hAnsi="Times New Roman" w:cs="Times New Roman"/>
                <w:b/>
                <w:bCs/>
                <w:caps/>
                <w:kern w:val="28"/>
                <w:szCs w:val="22"/>
                <w:lang w:val="fr-FR" w:eastAsia="fr-FR"/>
              </w:rPr>
            </w:pPr>
            <w:r w:rsidRPr="00675B85">
              <w:rPr>
                <w:rFonts w:ascii="Times New Roman" w:hAnsi="Times New Roman" w:cs="Times New Roman"/>
                <w:b/>
                <w:snapToGrid/>
                <w:szCs w:val="22"/>
                <w:lang w:val="fr-FR" w:eastAsia="fr-FR"/>
              </w:rPr>
              <w:t>Mardi 09 AVRIL 2019 à Thies.</w:t>
            </w:r>
          </w:p>
        </w:tc>
      </w:tr>
    </w:tbl>
    <w:p w14:paraId="37F6E0BC" w14:textId="513F5481" w:rsidR="0043665E" w:rsidRPr="00675B85" w:rsidRDefault="0043665E" w:rsidP="00675B85">
      <w:pPr>
        <w:pStyle w:val="Texte1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FA19D2B" w14:textId="77777777" w:rsidR="00F2444B" w:rsidRPr="00675B85" w:rsidRDefault="00F2444B" w:rsidP="00675B85">
      <w:pPr>
        <w:pStyle w:val="Texte1"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sectPr w:rsidR="00F2444B" w:rsidRPr="00675B85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6418B" w14:textId="77777777" w:rsidR="00FF17EF" w:rsidRDefault="00FF17EF" w:rsidP="0043665E">
      <w:pPr>
        <w:spacing w:before="0" w:after="0"/>
      </w:pPr>
      <w:r>
        <w:separator/>
      </w:r>
    </w:p>
  </w:endnote>
  <w:endnote w:type="continuationSeparator" w:id="0">
    <w:p w14:paraId="71AA23B1" w14:textId="77777777" w:rsidR="00FF17EF" w:rsidRDefault="00FF17EF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8930A" w14:textId="069E7EE7"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8FB73" w14:textId="36E944F6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430DD" w14:textId="3D0DC66E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90E491" w14:textId="77777777" w:rsidR="00FF17EF" w:rsidRDefault="00FF17EF" w:rsidP="0043665E">
      <w:pPr>
        <w:spacing w:before="0" w:after="0"/>
      </w:pPr>
      <w:r>
        <w:separator/>
      </w:r>
    </w:p>
  </w:footnote>
  <w:footnote w:type="continuationSeparator" w:id="0">
    <w:p w14:paraId="487CC225" w14:textId="77777777" w:rsidR="00FF17EF" w:rsidRDefault="00FF17EF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3B4C" w14:textId="67D27A77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A402EF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B2E3" w14:textId="54824B4B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A402EF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543B" w14:textId="10B104E5"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5DBF"/>
    <w:multiLevelType w:val="hybridMultilevel"/>
    <w:tmpl w:val="849010DC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3"/>
  </w:num>
  <w:num w:numId="5">
    <w:abstractNumId w:val="2"/>
  </w:num>
  <w:num w:numId="6">
    <w:abstractNumId w:val="6"/>
  </w:num>
  <w:num w:numId="7">
    <w:abstractNumId w:val="19"/>
  </w:num>
  <w:num w:numId="8">
    <w:abstractNumId w:val="14"/>
  </w:num>
  <w:num w:numId="9">
    <w:abstractNumId w:val="16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20"/>
  </w:num>
  <w:num w:numId="18">
    <w:abstractNumId w:val="22"/>
  </w:num>
  <w:num w:numId="19">
    <w:abstractNumId w:val="7"/>
  </w:num>
  <w:num w:numId="20">
    <w:abstractNumId w:val="17"/>
  </w:num>
  <w:num w:numId="21">
    <w:abstractNumId w:val="18"/>
  </w:num>
  <w:num w:numId="22">
    <w:abstractNumId w:val="4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1361D"/>
    <w:rsid w:val="000467D4"/>
    <w:rsid w:val="0005302A"/>
    <w:rsid w:val="000541D1"/>
    <w:rsid w:val="00062202"/>
    <w:rsid w:val="000659AC"/>
    <w:rsid w:val="000719BE"/>
    <w:rsid w:val="00087E92"/>
    <w:rsid w:val="000C126E"/>
    <w:rsid w:val="000C15A7"/>
    <w:rsid w:val="000C427D"/>
    <w:rsid w:val="000C48FB"/>
    <w:rsid w:val="000D2A04"/>
    <w:rsid w:val="000D411A"/>
    <w:rsid w:val="000D6CF2"/>
    <w:rsid w:val="000E2E37"/>
    <w:rsid w:val="000F267C"/>
    <w:rsid w:val="001062F8"/>
    <w:rsid w:val="00130E9D"/>
    <w:rsid w:val="001345D2"/>
    <w:rsid w:val="00136935"/>
    <w:rsid w:val="001553D4"/>
    <w:rsid w:val="00163C7E"/>
    <w:rsid w:val="00172A30"/>
    <w:rsid w:val="0017302E"/>
    <w:rsid w:val="00181BE9"/>
    <w:rsid w:val="00182DE5"/>
    <w:rsid w:val="00183242"/>
    <w:rsid w:val="00184690"/>
    <w:rsid w:val="0019461A"/>
    <w:rsid w:val="001B3DC5"/>
    <w:rsid w:val="001D3FB7"/>
    <w:rsid w:val="001E1E04"/>
    <w:rsid w:val="001E4DAF"/>
    <w:rsid w:val="001F58A3"/>
    <w:rsid w:val="00204611"/>
    <w:rsid w:val="00227BF2"/>
    <w:rsid w:val="00235D41"/>
    <w:rsid w:val="00235FA1"/>
    <w:rsid w:val="00243602"/>
    <w:rsid w:val="0026188F"/>
    <w:rsid w:val="00262FB2"/>
    <w:rsid w:val="0026616B"/>
    <w:rsid w:val="00274A0D"/>
    <w:rsid w:val="00284583"/>
    <w:rsid w:val="00290E8D"/>
    <w:rsid w:val="0029520D"/>
    <w:rsid w:val="0029782F"/>
    <w:rsid w:val="002A4188"/>
    <w:rsid w:val="002D3571"/>
    <w:rsid w:val="002F7D02"/>
    <w:rsid w:val="0030220A"/>
    <w:rsid w:val="00305430"/>
    <w:rsid w:val="00305B2A"/>
    <w:rsid w:val="0031142A"/>
    <w:rsid w:val="003136B8"/>
    <w:rsid w:val="0031649A"/>
    <w:rsid w:val="00330FD3"/>
    <w:rsid w:val="003342CA"/>
    <w:rsid w:val="00342E35"/>
    <w:rsid w:val="0036488E"/>
    <w:rsid w:val="00364978"/>
    <w:rsid w:val="00375468"/>
    <w:rsid w:val="00383D6C"/>
    <w:rsid w:val="003A2279"/>
    <w:rsid w:val="003A580C"/>
    <w:rsid w:val="003B5C70"/>
    <w:rsid w:val="003B770C"/>
    <w:rsid w:val="003B7DF6"/>
    <w:rsid w:val="003D5B49"/>
    <w:rsid w:val="00406AD4"/>
    <w:rsid w:val="00411061"/>
    <w:rsid w:val="004261E2"/>
    <w:rsid w:val="004318E3"/>
    <w:rsid w:val="0043665E"/>
    <w:rsid w:val="00444986"/>
    <w:rsid w:val="0044536B"/>
    <w:rsid w:val="00447529"/>
    <w:rsid w:val="004505E0"/>
    <w:rsid w:val="00480F48"/>
    <w:rsid w:val="004811DC"/>
    <w:rsid w:val="00483DBE"/>
    <w:rsid w:val="00490480"/>
    <w:rsid w:val="004A12CC"/>
    <w:rsid w:val="004C1E12"/>
    <w:rsid w:val="004E6C2E"/>
    <w:rsid w:val="00514577"/>
    <w:rsid w:val="00522182"/>
    <w:rsid w:val="00523F3F"/>
    <w:rsid w:val="005273C0"/>
    <w:rsid w:val="00551CFD"/>
    <w:rsid w:val="005732C3"/>
    <w:rsid w:val="005743E6"/>
    <w:rsid w:val="005818D7"/>
    <w:rsid w:val="005836AD"/>
    <w:rsid w:val="00597FD6"/>
    <w:rsid w:val="005A0460"/>
    <w:rsid w:val="005B17AD"/>
    <w:rsid w:val="005B3D67"/>
    <w:rsid w:val="005D395D"/>
    <w:rsid w:val="005F23E9"/>
    <w:rsid w:val="0060566B"/>
    <w:rsid w:val="00613A1C"/>
    <w:rsid w:val="006403CE"/>
    <w:rsid w:val="00644EA2"/>
    <w:rsid w:val="00660044"/>
    <w:rsid w:val="00670B71"/>
    <w:rsid w:val="00675B85"/>
    <w:rsid w:val="00677085"/>
    <w:rsid w:val="00681E75"/>
    <w:rsid w:val="00683D06"/>
    <w:rsid w:val="006942BD"/>
    <w:rsid w:val="00696D25"/>
    <w:rsid w:val="006A23FC"/>
    <w:rsid w:val="006A592E"/>
    <w:rsid w:val="006B26FC"/>
    <w:rsid w:val="006B52F8"/>
    <w:rsid w:val="006B6E4F"/>
    <w:rsid w:val="006C40DE"/>
    <w:rsid w:val="006D4EE8"/>
    <w:rsid w:val="006F7670"/>
    <w:rsid w:val="00707F39"/>
    <w:rsid w:val="00715497"/>
    <w:rsid w:val="0071699D"/>
    <w:rsid w:val="00724CF9"/>
    <w:rsid w:val="00725364"/>
    <w:rsid w:val="007254B2"/>
    <w:rsid w:val="00730A78"/>
    <w:rsid w:val="00731702"/>
    <w:rsid w:val="0074546A"/>
    <w:rsid w:val="00746314"/>
    <w:rsid w:val="00751B94"/>
    <w:rsid w:val="00765DC9"/>
    <w:rsid w:val="007676AE"/>
    <w:rsid w:val="00782E2F"/>
    <w:rsid w:val="007855E8"/>
    <w:rsid w:val="00792B4E"/>
    <w:rsid w:val="007B249A"/>
    <w:rsid w:val="007B77D3"/>
    <w:rsid w:val="007C293B"/>
    <w:rsid w:val="007C3E2B"/>
    <w:rsid w:val="007D0B3C"/>
    <w:rsid w:val="007D3164"/>
    <w:rsid w:val="007D3D1C"/>
    <w:rsid w:val="007D66AD"/>
    <w:rsid w:val="007D7B77"/>
    <w:rsid w:val="007F42F5"/>
    <w:rsid w:val="00802FB8"/>
    <w:rsid w:val="00805C08"/>
    <w:rsid w:val="00810316"/>
    <w:rsid w:val="00814267"/>
    <w:rsid w:val="00821F88"/>
    <w:rsid w:val="00826B03"/>
    <w:rsid w:val="00831585"/>
    <w:rsid w:val="00843564"/>
    <w:rsid w:val="008435EC"/>
    <w:rsid w:val="0085251D"/>
    <w:rsid w:val="0086313E"/>
    <w:rsid w:val="0086619A"/>
    <w:rsid w:val="00867E56"/>
    <w:rsid w:val="0087433D"/>
    <w:rsid w:val="00880E45"/>
    <w:rsid w:val="008A48A3"/>
    <w:rsid w:val="008C326B"/>
    <w:rsid w:val="008C5111"/>
    <w:rsid w:val="008D02AB"/>
    <w:rsid w:val="008D6754"/>
    <w:rsid w:val="008D718D"/>
    <w:rsid w:val="008E149A"/>
    <w:rsid w:val="008F077C"/>
    <w:rsid w:val="009034AC"/>
    <w:rsid w:val="00904171"/>
    <w:rsid w:val="00915C49"/>
    <w:rsid w:val="0092369C"/>
    <w:rsid w:val="00926A62"/>
    <w:rsid w:val="00926CD5"/>
    <w:rsid w:val="0092765D"/>
    <w:rsid w:val="00937539"/>
    <w:rsid w:val="0096052E"/>
    <w:rsid w:val="00961641"/>
    <w:rsid w:val="00972F71"/>
    <w:rsid w:val="0099595A"/>
    <w:rsid w:val="009B3E68"/>
    <w:rsid w:val="009B4E97"/>
    <w:rsid w:val="009E673A"/>
    <w:rsid w:val="00A015B5"/>
    <w:rsid w:val="00A06BCB"/>
    <w:rsid w:val="00A16589"/>
    <w:rsid w:val="00A20186"/>
    <w:rsid w:val="00A22C5B"/>
    <w:rsid w:val="00A27222"/>
    <w:rsid w:val="00A402EF"/>
    <w:rsid w:val="00A50BCC"/>
    <w:rsid w:val="00A57FDF"/>
    <w:rsid w:val="00A73163"/>
    <w:rsid w:val="00A9256D"/>
    <w:rsid w:val="00A93083"/>
    <w:rsid w:val="00A956BA"/>
    <w:rsid w:val="00AA0657"/>
    <w:rsid w:val="00AA4AB3"/>
    <w:rsid w:val="00AB3DD3"/>
    <w:rsid w:val="00AC395D"/>
    <w:rsid w:val="00AC3FFF"/>
    <w:rsid w:val="00AE2604"/>
    <w:rsid w:val="00AF2217"/>
    <w:rsid w:val="00B004C4"/>
    <w:rsid w:val="00B3378C"/>
    <w:rsid w:val="00B33B49"/>
    <w:rsid w:val="00B35163"/>
    <w:rsid w:val="00B401A7"/>
    <w:rsid w:val="00B43322"/>
    <w:rsid w:val="00B45F43"/>
    <w:rsid w:val="00B46DFF"/>
    <w:rsid w:val="00B63566"/>
    <w:rsid w:val="00B660FA"/>
    <w:rsid w:val="00B774E7"/>
    <w:rsid w:val="00B83A87"/>
    <w:rsid w:val="00BC24AB"/>
    <w:rsid w:val="00BC6897"/>
    <w:rsid w:val="00BC79D7"/>
    <w:rsid w:val="00BE050A"/>
    <w:rsid w:val="00BE2D20"/>
    <w:rsid w:val="00BF2045"/>
    <w:rsid w:val="00C05CDC"/>
    <w:rsid w:val="00C10B21"/>
    <w:rsid w:val="00C13746"/>
    <w:rsid w:val="00C13BCB"/>
    <w:rsid w:val="00C17481"/>
    <w:rsid w:val="00C203FD"/>
    <w:rsid w:val="00C24808"/>
    <w:rsid w:val="00C26CD5"/>
    <w:rsid w:val="00C57330"/>
    <w:rsid w:val="00C707A5"/>
    <w:rsid w:val="00C80C74"/>
    <w:rsid w:val="00C8753B"/>
    <w:rsid w:val="00C92ED6"/>
    <w:rsid w:val="00C9640F"/>
    <w:rsid w:val="00CA5163"/>
    <w:rsid w:val="00CB6A00"/>
    <w:rsid w:val="00CC24F0"/>
    <w:rsid w:val="00CD0ADF"/>
    <w:rsid w:val="00CE262E"/>
    <w:rsid w:val="00D03468"/>
    <w:rsid w:val="00D11FA6"/>
    <w:rsid w:val="00D13F7C"/>
    <w:rsid w:val="00D273B2"/>
    <w:rsid w:val="00D330E7"/>
    <w:rsid w:val="00D407C5"/>
    <w:rsid w:val="00D83C00"/>
    <w:rsid w:val="00D93D18"/>
    <w:rsid w:val="00DC4EC9"/>
    <w:rsid w:val="00DF6DFC"/>
    <w:rsid w:val="00E13E62"/>
    <w:rsid w:val="00E14BAC"/>
    <w:rsid w:val="00E15762"/>
    <w:rsid w:val="00E2669B"/>
    <w:rsid w:val="00E3389B"/>
    <w:rsid w:val="00E47579"/>
    <w:rsid w:val="00E51775"/>
    <w:rsid w:val="00E66B04"/>
    <w:rsid w:val="00E70320"/>
    <w:rsid w:val="00E87D99"/>
    <w:rsid w:val="00E92805"/>
    <w:rsid w:val="00E948A2"/>
    <w:rsid w:val="00EA0707"/>
    <w:rsid w:val="00EA348C"/>
    <w:rsid w:val="00EB424D"/>
    <w:rsid w:val="00EC644B"/>
    <w:rsid w:val="00ED5D08"/>
    <w:rsid w:val="00EE297B"/>
    <w:rsid w:val="00EE38CE"/>
    <w:rsid w:val="00EE6E64"/>
    <w:rsid w:val="00F0366D"/>
    <w:rsid w:val="00F06644"/>
    <w:rsid w:val="00F07A52"/>
    <w:rsid w:val="00F23922"/>
    <w:rsid w:val="00F2444B"/>
    <w:rsid w:val="00F25AE7"/>
    <w:rsid w:val="00F3514C"/>
    <w:rsid w:val="00F355F4"/>
    <w:rsid w:val="00F3772A"/>
    <w:rsid w:val="00F54B47"/>
    <w:rsid w:val="00F5566D"/>
    <w:rsid w:val="00F631BE"/>
    <w:rsid w:val="00F63F3B"/>
    <w:rsid w:val="00F9343E"/>
    <w:rsid w:val="00FA60CF"/>
    <w:rsid w:val="00FD68C2"/>
    <w:rsid w:val="00FE213E"/>
    <w:rsid w:val="00FF0D5D"/>
    <w:rsid w:val="00FF17EF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945FF"/>
  <w15:docId w15:val="{B28B70E1-B2C4-4F5B-827D-6C855CAD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BAAA-5095-4AA9-9D30-5E99532B9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1080</Words>
  <Characters>5943</Characters>
  <Application>Microsoft Office Word</Application>
  <DocSecurity>0</DocSecurity>
  <Lines>49</Lines>
  <Paragraphs>14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Ombeline Scour</dc:creator>
  <cp:keywords/>
  <dc:description/>
  <cp:lastModifiedBy>user</cp:lastModifiedBy>
  <cp:revision>2</cp:revision>
  <dcterms:created xsi:type="dcterms:W3CDTF">2019-06-18T10:09:00Z</dcterms:created>
  <dcterms:modified xsi:type="dcterms:W3CDTF">2019-06-18T10:09:00Z</dcterms:modified>
</cp:coreProperties>
</file>