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A6" w:rsidRDefault="00F355F4" w:rsidP="00D11FA6">
      <w:pPr>
        <w:pStyle w:val="Titre4"/>
        <w:rPr>
          <w:rFonts w:eastAsia="Calibri" w:cs="Arial"/>
          <w:bCs/>
          <w:caps w:val="0"/>
          <w:snapToGrid w:val="0"/>
          <w:color w:val="3366FF"/>
          <w:kern w:val="28"/>
          <w:sz w:val="36"/>
          <w:szCs w:val="36"/>
          <w:lang w:eastAsia="zh-CN"/>
        </w:rPr>
      </w:pPr>
      <w:r>
        <w:rPr>
          <w:rFonts w:eastAsia="Calibri" w:cs="Arial"/>
          <w:bCs/>
          <w:caps w:val="0"/>
          <w:snapToGrid w:val="0"/>
          <w:color w:val="3366FF"/>
          <w:kern w:val="28"/>
          <w:sz w:val="36"/>
          <w:szCs w:val="36"/>
          <w:lang w:eastAsia="zh-CN"/>
        </w:rPr>
        <w:t>FICHE TYPE D’INVENTAIRE DU PCI</w:t>
      </w:r>
    </w:p>
    <w:p w:rsidR="00F355F4" w:rsidRDefault="00F355F4" w:rsidP="00F355F4">
      <w:pPr>
        <w:rPr>
          <w:lang w:val="fr-FR"/>
        </w:rPr>
      </w:pPr>
    </w:p>
    <w:p w:rsidR="00F355F4" w:rsidRDefault="00F355F4" w:rsidP="00F355F4">
      <w:pPr>
        <w:rPr>
          <w:b/>
          <w:lang w:val="fr-FR"/>
        </w:rPr>
      </w:pPr>
      <w:r w:rsidRPr="00F355F4">
        <w:rPr>
          <w:b/>
          <w:lang w:val="fr-FR"/>
        </w:rPr>
        <w:t xml:space="preserve">REGION : </w:t>
      </w:r>
      <w:r w:rsidR="0008506B">
        <w:rPr>
          <w:b/>
          <w:lang w:val="fr-FR"/>
        </w:rPr>
        <w:t>Dakar</w:t>
      </w:r>
    </w:p>
    <w:p w:rsidR="00F355F4" w:rsidRDefault="00F355F4" w:rsidP="00F355F4">
      <w:pPr>
        <w:rPr>
          <w:b/>
          <w:lang w:val="fr-FR"/>
        </w:rPr>
      </w:pPr>
    </w:p>
    <w:p w:rsidR="00F355F4" w:rsidRPr="00F355F4" w:rsidRDefault="00F355F4" w:rsidP="00F355F4">
      <w:pPr>
        <w:rPr>
          <w:b/>
          <w:lang w:val="fr-FR"/>
        </w:rPr>
      </w:pPr>
      <w:r>
        <w:rPr>
          <w:b/>
          <w:lang w:val="fr-FR"/>
        </w:rPr>
        <w:t>DEPARTEMENT :</w:t>
      </w:r>
      <w:r w:rsidR="0008506B">
        <w:rPr>
          <w:b/>
          <w:lang w:val="fr-FR"/>
        </w:rPr>
        <w:t xml:space="preserve"> Pikine</w:t>
      </w:r>
    </w:p>
    <w:p w:rsidR="00C92ED6" w:rsidRDefault="00F355F4" w:rsidP="00F355F4">
      <w:pPr>
        <w:pStyle w:val="Titre4"/>
      </w:pPr>
      <w:r>
        <w:t>Numero de la fic</w:t>
      </w:r>
      <w:r w:rsidRPr="00B841F8">
        <w:rPr>
          <w:color w:val="FF0000"/>
        </w:rPr>
        <w:t>he :</w:t>
      </w:r>
      <w:r w:rsidR="0008506B" w:rsidRPr="00B841F8">
        <w:rPr>
          <w:color w:val="FF0000"/>
        </w:rPr>
        <w:t xml:space="preserve"> 4</w:t>
      </w:r>
      <w:r w:rsidR="00B841F8" w:rsidRPr="00B841F8">
        <w:rPr>
          <w:color w:val="FF0000"/>
        </w:rPr>
        <w:t>……..</w:t>
      </w:r>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8283"/>
      </w:tblGrid>
      <w:tr w:rsidR="00C92ED6" w:rsidRPr="003E2AEE" w:rsidTr="00971D6F">
        <w:tc>
          <w:tcPr>
            <w:tcW w:w="567" w:type="dxa"/>
            <w:shd w:val="clear" w:color="auto" w:fill="F2F2F2"/>
          </w:tcPr>
          <w:p w:rsidR="00C92ED6" w:rsidRPr="00C92ED6" w:rsidRDefault="00C92ED6" w:rsidP="00C50236">
            <w:pPr>
              <w:spacing w:before="100" w:beforeAutospacing="1" w:after="100" w:afterAutospacing="1"/>
              <w:jc w:val="right"/>
              <w:rPr>
                <w:b/>
                <w:sz w:val="18"/>
                <w:szCs w:val="18"/>
                <w:lang w:val="fr-FR" w:eastAsia="fr-FR"/>
              </w:rPr>
            </w:pPr>
            <w:r w:rsidRPr="00C92ED6">
              <w:rPr>
                <w:b/>
                <w:sz w:val="18"/>
                <w:szCs w:val="18"/>
                <w:lang w:val="fr-FR" w:eastAsia="fr-FR"/>
              </w:rPr>
              <w:t>1.</w:t>
            </w:r>
          </w:p>
        </w:tc>
        <w:tc>
          <w:tcPr>
            <w:tcW w:w="8283" w:type="dxa"/>
            <w:shd w:val="clear" w:color="auto" w:fill="F2F2F2"/>
          </w:tcPr>
          <w:p w:rsidR="00C92ED6" w:rsidRPr="007254B2" w:rsidRDefault="00C92ED6" w:rsidP="00C50236">
            <w:pPr>
              <w:pStyle w:val="Tabtxt"/>
              <w:keepNext w:val="0"/>
              <w:spacing w:before="100" w:beforeAutospacing="1" w:after="100" w:afterAutospacing="1" w:line="240" w:lineRule="auto"/>
              <w:ind w:left="113"/>
              <w:jc w:val="left"/>
              <w:rPr>
                <w:rFonts w:ascii="Arial Bold" w:hAnsi="Arial Bold"/>
                <w:b/>
                <w:caps/>
              </w:rPr>
            </w:pPr>
            <w:r w:rsidRPr="00A06BCB">
              <w:rPr>
                <w:rFonts w:ascii="Arial Bold" w:hAnsi="Arial Bold"/>
                <w:b/>
                <w:caps/>
                <w:snapToGrid w:val="0"/>
              </w:rPr>
              <w:t>Identification de l’élément du PCI</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1.1.</w:t>
            </w:r>
          </w:p>
        </w:tc>
        <w:tc>
          <w:tcPr>
            <w:tcW w:w="8283" w:type="dxa"/>
            <w:shd w:val="clear" w:color="auto" w:fill="auto"/>
          </w:tcPr>
          <w:p w:rsidR="00C92ED6" w:rsidRPr="00C92ED6" w:rsidRDefault="00AD6C47" w:rsidP="003E2AEE">
            <w:pPr>
              <w:spacing w:before="100" w:beforeAutospacing="1" w:after="100" w:afterAutospacing="1"/>
              <w:ind w:left="113"/>
              <w:jc w:val="left"/>
              <w:rPr>
                <w:b/>
                <w:bCs/>
                <w:caps/>
                <w:kern w:val="28"/>
                <w:sz w:val="18"/>
                <w:szCs w:val="18"/>
                <w:lang w:val="fr-FR" w:eastAsia="fr-FR"/>
              </w:rPr>
            </w:pPr>
            <w:r>
              <w:rPr>
                <w:snapToGrid/>
                <w:sz w:val="18"/>
                <w:szCs w:val="18"/>
                <w:lang w:val="fr-FR" w:eastAsia="fr-FR"/>
              </w:rPr>
              <w:t>L</w:t>
            </w:r>
            <w:r w:rsidR="00EE7829">
              <w:rPr>
                <w:snapToGrid/>
                <w:sz w:val="18"/>
                <w:szCs w:val="18"/>
                <w:lang w:val="fr-FR" w:eastAsia="fr-FR"/>
              </w:rPr>
              <w:t>E L</w:t>
            </w:r>
            <w:r>
              <w:rPr>
                <w:snapToGrid/>
                <w:sz w:val="18"/>
                <w:szCs w:val="18"/>
                <w:lang w:val="fr-FR" w:eastAsia="fr-FR"/>
              </w:rPr>
              <w:t>EUL</w:t>
            </w:r>
          </w:p>
        </w:tc>
      </w:tr>
      <w:tr w:rsidR="00C92ED6" w:rsidRPr="003E2AEE" w:rsidTr="00971D6F">
        <w:tc>
          <w:tcPr>
            <w:tcW w:w="567" w:type="dxa"/>
            <w:shd w:val="clear" w:color="auto" w:fill="auto"/>
          </w:tcPr>
          <w:p w:rsidR="00C92ED6" w:rsidRPr="00C92ED6" w:rsidRDefault="00C92ED6" w:rsidP="00545E58">
            <w:pPr>
              <w:spacing w:before="0" w:after="0"/>
              <w:jc w:val="right"/>
              <w:rPr>
                <w:b/>
                <w:bCs/>
                <w:caps/>
                <w:kern w:val="28"/>
                <w:sz w:val="18"/>
                <w:szCs w:val="18"/>
                <w:lang w:val="fr-FR" w:eastAsia="fr-FR"/>
              </w:rPr>
            </w:pPr>
            <w:r w:rsidRPr="00C92ED6">
              <w:rPr>
                <w:sz w:val="18"/>
                <w:szCs w:val="18"/>
                <w:lang w:val="fr-FR" w:eastAsia="fr-FR"/>
              </w:rPr>
              <w:t>1.2.</w:t>
            </w:r>
          </w:p>
        </w:tc>
        <w:tc>
          <w:tcPr>
            <w:tcW w:w="8283" w:type="dxa"/>
            <w:shd w:val="clear" w:color="auto" w:fill="auto"/>
          </w:tcPr>
          <w:p w:rsidR="00C50236" w:rsidRDefault="00A06BCB" w:rsidP="00545E58">
            <w:pPr>
              <w:spacing w:before="0" w:after="0"/>
              <w:ind w:left="113"/>
              <w:jc w:val="left"/>
              <w:rPr>
                <w:snapToGrid/>
                <w:sz w:val="18"/>
                <w:szCs w:val="18"/>
                <w:lang w:val="fr-FR" w:eastAsia="fr-FR"/>
              </w:rPr>
            </w:pPr>
            <w:r>
              <w:rPr>
                <w:snapToGrid/>
                <w:sz w:val="18"/>
                <w:szCs w:val="18"/>
                <w:lang w:val="fr-FR" w:eastAsia="fr-FR"/>
              </w:rPr>
              <w:t xml:space="preserve">Titre </w:t>
            </w:r>
            <w:r w:rsidR="00C92ED6" w:rsidRPr="00C92ED6">
              <w:rPr>
                <w:snapToGrid/>
                <w:sz w:val="18"/>
                <w:szCs w:val="18"/>
                <w:lang w:val="fr-FR" w:eastAsia="fr-FR"/>
              </w:rPr>
              <w:t>de l’élément du PCI ‒ avec indication du (des) domaine(s) du PCI concerné(s)</w:t>
            </w:r>
          </w:p>
          <w:p w:rsidR="003E2AEE" w:rsidRDefault="003E2AEE" w:rsidP="00545E58">
            <w:pPr>
              <w:spacing w:before="0" w:after="0"/>
              <w:ind w:left="113"/>
              <w:jc w:val="left"/>
              <w:rPr>
                <w:snapToGrid/>
                <w:sz w:val="18"/>
                <w:szCs w:val="18"/>
                <w:lang w:val="fr-FR" w:eastAsia="fr-FR"/>
              </w:rPr>
            </w:pPr>
            <w:r>
              <w:rPr>
                <w:snapToGrid/>
                <w:sz w:val="18"/>
                <w:szCs w:val="18"/>
                <w:lang w:val="fr-FR" w:eastAsia="fr-FR"/>
              </w:rPr>
              <w:t>LE LEUL COMMUNAUTAIRE DE PIKINE</w:t>
            </w:r>
          </w:p>
          <w:p w:rsidR="00EE7829" w:rsidRDefault="00EE7829" w:rsidP="00545E58">
            <w:pPr>
              <w:spacing w:before="0" w:after="0"/>
              <w:ind w:left="113"/>
              <w:jc w:val="left"/>
              <w:rPr>
                <w:snapToGrid/>
                <w:sz w:val="18"/>
                <w:szCs w:val="18"/>
                <w:lang w:val="fr-FR" w:eastAsia="fr-FR"/>
              </w:rPr>
            </w:pPr>
          </w:p>
          <w:p w:rsidR="00EE7829" w:rsidRPr="00EE7829" w:rsidRDefault="00EE7829" w:rsidP="00EE7829">
            <w:pPr>
              <w:spacing w:before="0" w:after="0"/>
              <w:jc w:val="left"/>
              <w:rPr>
                <w:snapToGrid/>
                <w:sz w:val="18"/>
                <w:szCs w:val="18"/>
                <w:lang w:val="fr-FR" w:eastAsia="fr-FR"/>
              </w:rPr>
            </w:pPr>
            <w:r w:rsidRPr="00EE7829">
              <w:rPr>
                <w:snapToGrid/>
                <w:sz w:val="18"/>
                <w:szCs w:val="18"/>
                <w:lang w:val="fr-FR" w:eastAsia="fr-FR"/>
              </w:rPr>
              <w:t>les pratiques sociales, rituels et événements festifs</w:t>
            </w:r>
          </w:p>
          <w:p w:rsidR="00AD6C47" w:rsidRPr="00C50236" w:rsidRDefault="00AD6C47" w:rsidP="00545E58">
            <w:pPr>
              <w:spacing w:before="0" w:after="0"/>
              <w:jc w:val="left"/>
              <w:rPr>
                <w:snapToGrid/>
                <w:sz w:val="18"/>
                <w:szCs w:val="18"/>
                <w:lang w:val="fr-FR" w:eastAsia="fr-FR"/>
              </w:rPr>
            </w:pPr>
          </w:p>
        </w:tc>
      </w:tr>
      <w:tr w:rsidR="00C92ED6" w:rsidRPr="003E2AEE" w:rsidTr="00971D6F">
        <w:tc>
          <w:tcPr>
            <w:tcW w:w="567" w:type="dxa"/>
            <w:shd w:val="clear" w:color="auto" w:fill="auto"/>
          </w:tcPr>
          <w:p w:rsidR="00C92ED6" w:rsidRPr="00C92ED6" w:rsidRDefault="00C92ED6" w:rsidP="00545E58">
            <w:pPr>
              <w:spacing w:before="0" w:after="0"/>
              <w:jc w:val="right"/>
              <w:rPr>
                <w:b/>
                <w:bCs/>
                <w:caps/>
                <w:kern w:val="28"/>
                <w:sz w:val="18"/>
                <w:szCs w:val="18"/>
                <w:lang w:val="fr-FR" w:eastAsia="fr-FR"/>
              </w:rPr>
            </w:pPr>
            <w:r w:rsidRPr="00C92ED6">
              <w:rPr>
                <w:sz w:val="18"/>
                <w:szCs w:val="18"/>
                <w:lang w:val="fr-FR" w:eastAsia="fr-FR"/>
              </w:rPr>
              <w:t>1.3.</w:t>
            </w:r>
          </w:p>
        </w:tc>
        <w:tc>
          <w:tcPr>
            <w:tcW w:w="8283" w:type="dxa"/>
            <w:shd w:val="clear" w:color="auto" w:fill="auto"/>
          </w:tcPr>
          <w:p w:rsidR="00C92ED6" w:rsidRPr="00526BDD" w:rsidRDefault="00C92ED6" w:rsidP="00545E58">
            <w:pPr>
              <w:spacing w:before="0" w:after="0"/>
              <w:ind w:left="113"/>
              <w:jc w:val="left"/>
              <w:rPr>
                <w:snapToGrid/>
                <w:sz w:val="18"/>
                <w:szCs w:val="18"/>
                <w:lang w:val="fr-FR" w:eastAsia="fr-FR"/>
              </w:rPr>
            </w:pPr>
            <w:r w:rsidRPr="00526BDD">
              <w:rPr>
                <w:snapToGrid/>
                <w:sz w:val="18"/>
                <w:szCs w:val="18"/>
                <w:lang w:val="fr-FR" w:eastAsia="fr-FR"/>
              </w:rPr>
              <w:t>Communauté(s) concernée(s)</w:t>
            </w:r>
          </w:p>
          <w:p w:rsidR="00AD6C47" w:rsidRPr="00C92ED6" w:rsidRDefault="00AD6C47" w:rsidP="00545E58">
            <w:pPr>
              <w:spacing w:before="0" w:after="0"/>
              <w:ind w:left="113"/>
              <w:jc w:val="left"/>
              <w:rPr>
                <w:b/>
                <w:bCs/>
                <w:caps/>
                <w:kern w:val="28"/>
                <w:sz w:val="18"/>
                <w:szCs w:val="18"/>
                <w:lang w:val="fr-FR" w:eastAsia="fr-FR"/>
              </w:rPr>
            </w:pPr>
            <w:r w:rsidRPr="00526BDD">
              <w:rPr>
                <w:snapToGrid/>
                <w:sz w:val="18"/>
                <w:szCs w:val="18"/>
                <w:lang w:val="fr-FR" w:eastAsia="fr-FR"/>
              </w:rPr>
              <w:t>Wolofs</w:t>
            </w:r>
          </w:p>
        </w:tc>
      </w:tr>
      <w:tr w:rsidR="00C92ED6" w:rsidRPr="003E2AEE" w:rsidTr="00971D6F">
        <w:tc>
          <w:tcPr>
            <w:tcW w:w="567" w:type="dxa"/>
            <w:shd w:val="clear" w:color="auto" w:fill="auto"/>
          </w:tcPr>
          <w:p w:rsidR="00C92ED6" w:rsidRPr="00C92ED6" w:rsidRDefault="00C92ED6" w:rsidP="00545E58">
            <w:pPr>
              <w:spacing w:before="0" w:after="0"/>
              <w:jc w:val="right"/>
              <w:rPr>
                <w:b/>
                <w:bCs/>
                <w:caps/>
                <w:kern w:val="28"/>
                <w:sz w:val="18"/>
                <w:szCs w:val="18"/>
                <w:lang w:val="fr-FR" w:eastAsia="fr-FR"/>
              </w:rPr>
            </w:pPr>
            <w:r w:rsidRPr="00C92ED6">
              <w:rPr>
                <w:sz w:val="18"/>
                <w:szCs w:val="18"/>
                <w:lang w:val="fr-FR" w:eastAsia="fr-FR"/>
              </w:rPr>
              <w:t>1.4.</w:t>
            </w:r>
          </w:p>
        </w:tc>
        <w:tc>
          <w:tcPr>
            <w:tcW w:w="8283" w:type="dxa"/>
            <w:shd w:val="clear" w:color="auto" w:fill="auto"/>
          </w:tcPr>
          <w:p w:rsidR="00C92ED6" w:rsidRDefault="00C92ED6" w:rsidP="00545E58">
            <w:pPr>
              <w:spacing w:before="0" w:after="0"/>
              <w:ind w:left="113"/>
              <w:jc w:val="left"/>
              <w:rPr>
                <w:snapToGrid/>
                <w:sz w:val="18"/>
                <w:szCs w:val="18"/>
                <w:lang w:val="fr-FR" w:eastAsia="fr-FR"/>
              </w:rPr>
            </w:pPr>
            <w:r w:rsidRPr="00C92ED6">
              <w:rPr>
                <w:snapToGrid/>
                <w:sz w:val="18"/>
                <w:szCs w:val="18"/>
                <w:lang w:val="fr-FR" w:eastAsia="fr-FR"/>
              </w:rPr>
              <w:t>Emplacement(s) physique(s)/répartition et fréquence de la pratique de l’élément du PCI</w:t>
            </w:r>
          </w:p>
          <w:p w:rsidR="00AD6C47" w:rsidRPr="00C92ED6" w:rsidRDefault="003E2AEE" w:rsidP="00545E58">
            <w:pPr>
              <w:spacing w:before="0" w:after="0"/>
              <w:ind w:left="113"/>
              <w:jc w:val="left"/>
              <w:rPr>
                <w:b/>
                <w:bCs/>
                <w:caps/>
                <w:kern w:val="28"/>
                <w:sz w:val="18"/>
                <w:szCs w:val="18"/>
                <w:lang w:val="fr-FR" w:eastAsia="fr-FR"/>
              </w:rPr>
            </w:pPr>
            <w:r>
              <w:rPr>
                <w:snapToGrid/>
                <w:sz w:val="18"/>
                <w:szCs w:val="18"/>
                <w:lang w:val="fr-FR" w:eastAsia="fr-FR"/>
              </w:rPr>
              <w:t xml:space="preserve">Pikine à la </w:t>
            </w:r>
            <w:r w:rsidR="001F6DD7">
              <w:rPr>
                <w:snapToGrid/>
                <w:sz w:val="18"/>
                <w:szCs w:val="18"/>
                <w:lang w:val="fr-FR" w:eastAsia="fr-FR"/>
              </w:rPr>
              <w:t>forêt</w:t>
            </w:r>
            <w:r>
              <w:rPr>
                <w:snapToGrid/>
                <w:sz w:val="18"/>
                <w:szCs w:val="18"/>
                <w:lang w:val="fr-FR" w:eastAsia="fr-FR"/>
              </w:rPr>
              <w:t xml:space="preserve"> classée de </w:t>
            </w:r>
            <w:proofErr w:type="spellStart"/>
            <w:r>
              <w:rPr>
                <w:snapToGrid/>
                <w:sz w:val="18"/>
                <w:szCs w:val="18"/>
                <w:lang w:val="fr-FR" w:eastAsia="fr-FR"/>
              </w:rPr>
              <w:t>Mbao</w:t>
            </w:r>
            <w:proofErr w:type="spellEnd"/>
          </w:p>
        </w:tc>
      </w:tr>
      <w:tr w:rsidR="00C92ED6" w:rsidRPr="003E2AEE" w:rsidTr="00734661">
        <w:trPr>
          <w:trHeight w:val="1340"/>
        </w:trPr>
        <w:tc>
          <w:tcPr>
            <w:tcW w:w="567" w:type="dxa"/>
            <w:tcBorders>
              <w:bottom w:val="single" w:sz="4" w:space="0" w:color="auto"/>
            </w:tcBorders>
            <w:shd w:val="clear" w:color="auto" w:fill="auto"/>
          </w:tcPr>
          <w:p w:rsidR="00C92ED6" w:rsidRPr="00FE2839" w:rsidRDefault="00C92ED6" w:rsidP="00FE2839">
            <w:pPr>
              <w:spacing w:before="0" w:after="0"/>
              <w:rPr>
                <w:rFonts w:ascii="Times New Roman" w:hAnsi="Times New Roman" w:cs="Times New Roman"/>
                <w:b/>
                <w:bCs/>
                <w:caps/>
                <w:kern w:val="28"/>
                <w:sz w:val="24"/>
                <w:lang w:val="fr-FR" w:eastAsia="fr-FR"/>
              </w:rPr>
            </w:pPr>
            <w:r w:rsidRPr="00FE2839">
              <w:rPr>
                <w:rFonts w:ascii="Times New Roman" w:hAnsi="Times New Roman" w:cs="Times New Roman"/>
                <w:sz w:val="24"/>
                <w:lang w:val="fr-FR" w:eastAsia="fr-FR"/>
              </w:rPr>
              <w:t>1.5.</w:t>
            </w:r>
          </w:p>
        </w:tc>
        <w:tc>
          <w:tcPr>
            <w:tcW w:w="8283" w:type="dxa"/>
            <w:tcBorders>
              <w:bottom w:val="single" w:sz="4" w:space="0" w:color="auto"/>
            </w:tcBorders>
            <w:shd w:val="clear" w:color="auto" w:fill="auto"/>
          </w:tcPr>
          <w:p w:rsidR="00545E58" w:rsidRPr="00FE2839" w:rsidRDefault="00C92ED6" w:rsidP="00FE2839">
            <w:pPr>
              <w:spacing w:before="0" w:after="0"/>
              <w:ind w:left="113"/>
              <w:rPr>
                <w:rFonts w:ascii="Times New Roman" w:hAnsi="Times New Roman" w:cs="Times New Roman"/>
                <w:snapToGrid/>
                <w:sz w:val="24"/>
                <w:lang w:val="fr-FR" w:eastAsia="fr-FR"/>
              </w:rPr>
            </w:pPr>
            <w:r w:rsidRPr="00FE2839">
              <w:rPr>
                <w:rFonts w:ascii="Times New Roman" w:hAnsi="Times New Roman" w:cs="Times New Roman"/>
                <w:snapToGrid/>
                <w:sz w:val="24"/>
                <w:lang w:val="fr-FR" w:eastAsia="fr-FR"/>
              </w:rPr>
              <w:t>Brève description de l’élément du PCI (de préférence pas de 200 mots)</w:t>
            </w:r>
          </w:p>
          <w:p w:rsidR="00AD6C47" w:rsidRPr="00FE2839" w:rsidRDefault="00EE7829" w:rsidP="00FE2839">
            <w:pPr>
              <w:spacing w:before="0" w:after="0"/>
              <w:rPr>
                <w:rFonts w:ascii="Times New Roman" w:hAnsi="Times New Roman" w:cs="Times New Roman"/>
                <w:snapToGrid/>
                <w:sz w:val="24"/>
                <w:lang w:val="fr-FR" w:eastAsia="fr-FR"/>
              </w:rPr>
            </w:pPr>
            <w:r w:rsidRPr="00FE2839">
              <w:rPr>
                <w:rFonts w:ascii="Times New Roman" w:hAnsi="Times New Roman" w:cs="Times New Roman"/>
                <w:sz w:val="24"/>
                <w:lang w:val="fr-FR"/>
              </w:rPr>
              <w:t xml:space="preserve">Le </w:t>
            </w:r>
            <w:proofErr w:type="spellStart"/>
            <w:r w:rsidRPr="00FE2839">
              <w:rPr>
                <w:rFonts w:ascii="Times New Roman" w:hAnsi="Times New Roman" w:cs="Times New Roman"/>
                <w:sz w:val="24"/>
                <w:lang w:val="fr-FR"/>
              </w:rPr>
              <w:t>leul</w:t>
            </w:r>
            <w:proofErr w:type="spellEnd"/>
            <w:r w:rsidR="0029217F" w:rsidRPr="00FE2839">
              <w:rPr>
                <w:rFonts w:ascii="Times New Roman" w:hAnsi="Times New Roman" w:cs="Times New Roman"/>
                <w:sz w:val="24"/>
                <w:lang w:val="fr-FR"/>
              </w:rPr>
              <w:t xml:space="preserve"> </w:t>
            </w:r>
            <w:r w:rsidR="001F6DD7" w:rsidRPr="00FE2839">
              <w:rPr>
                <w:rFonts w:ascii="Times New Roman" w:hAnsi="Times New Roman" w:cs="Times New Roman"/>
                <w:sz w:val="24"/>
                <w:lang w:val="fr-FR"/>
              </w:rPr>
              <w:t xml:space="preserve">qui englobe toutes les étapes de la circoncision </w:t>
            </w:r>
            <w:r w:rsidRPr="00FE2839">
              <w:rPr>
                <w:rFonts w:ascii="Times New Roman" w:hAnsi="Times New Roman" w:cs="Times New Roman"/>
                <w:sz w:val="24"/>
                <w:lang w:val="fr-FR"/>
              </w:rPr>
              <w:t xml:space="preserve">est une cérémonie </w:t>
            </w:r>
            <w:r w:rsidR="00AD6C47" w:rsidRPr="00FE2839">
              <w:rPr>
                <w:rFonts w:ascii="Times New Roman" w:hAnsi="Times New Roman" w:cs="Times New Roman"/>
                <w:sz w:val="24"/>
                <w:lang w:val="fr-FR"/>
              </w:rPr>
              <w:t>d’initiation des jeunes aux valeurs et pratiques de la vie active.</w:t>
            </w:r>
          </w:p>
          <w:p w:rsidR="00AD6C47" w:rsidRPr="00FE2839" w:rsidRDefault="00AD6C47" w:rsidP="00FE2839">
            <w:pPr>
              <w:spacing w:before="0" w:after="0"/>
              <w:ind w:right="144"/>
              <w:rPr>
                <w:rFonts w:ascii="Times New Roman" w:hAnsi="Times New Roman" w:cs="Times New Roman"/>
                <w:sz w:val="24"/>
                <w:lang w:val="fr-FR"/>
              </w:rPr>
            </w:pPr>
            <w:r w:rsidRPr="00FE2839">
              <w:rPr>
                <w:rFonts w:ascii="Times New Roman" w:hAnsi="Times New Roman" w:cs="Times New Roman"/>
                <w:sz w:val="24"/>
                <w:lang w:val="fr-FR"/>
              </w:rPr>
              <w:t>C’est une période pendant laquelle les jeunes s</w:t>
            </w:r>
            <w:r w:rsidR="001F6DD7" w:rsidRPr="00FE2839">
              <w:rPr>
                <w:rFonts w:ascii="Times New Roman" w:hAnsi="Times New Roman" w:cs="Times New Roman"/>
                <w:sz w:val="24"/>
                <w:lang w:val="fr-FR"/>
              </w:rPr>
              <w:t>éjournent hors de la concession familiale pour être formés</w:t>
            </w:r>
            <w:r w:rsidRPr="00FE2839">
              <w:rPr>
                <w:rFonts w:ascii="Times New Roman" w:hAnsi="Times New Roman" w:cs="Times New Roman"/>
                <w:sz w:val="24"/>
                <w:lang w:val="fr-FR"/>
              </w:rPr>
              <w:t>. Ce retrait éducat</w:t>
            </w:r>
            <w:r w:rsidR="001F6DD7" w:rsidRPr="00FE2839">
              <w:rPr>
                <w:rFonts w:ascii="Times New Roman" w:hAnsi="Times New Roman" w:cs="Times New Roman"/>
                <w:sz w:val="24"/>
                <w:lang w:val="fr-FR"/>
              </w:rPr>
              <w:t xml:space="preserve">ionnel est géré par les sages : le </w:t>
            </w:r>
            <w:proofErr w:type="spellStart"/>
            <w:r w:rsidR="001F6DD7" w:rsidRPr="00FE2839">
              <w:rPr>
                <w:rFonts w:ascii="Times New Roman" w:hAnsi="Times New Roman" w:cs="Times New Roman"/>
                <w:sz w:val="24"/>
                <w:lang w:val="fr-FR"/>
              </w:rPr>
              <w:t>Kumux</w:t>
            </w:r>
            <w:proofErr w:type="spellEnd"/>
            <w:r w:rsidR="001F6DD7" w:rsidRPr="00FE2839">
              <w:rPr>
                <w:rFonts w:ascii="Times New Roman" w:hAnsi="Times New Roman" w:cs="Times New Roman"/>
                <w:sz w:val="24"/>
                <w:lang w:val="fr-FR"/>
              </w:rPr>
              <w:t xml:space="preserve">, ou organisateur principal, et son adjoint appelé </w:t>
            </w:r>
            <w:proofErr w:type="spellStart"/>
            <w:r w:rsidR="001F6DD7" w:rsidRPr="00FE2839">
              <w:rPr>
                <w:rFonts w:ascii="Times New Roman" w:hAnsi="Times New Roman" w:cs="Times New Roman"/>
                <w:sz w:val="24"/>
                <w:lang w:val="fr-FR"/>
              </w:rPr>
              <w:t>Botal</w:t>
            </w:r>
            <w:proofErr w:type="spellEnd"/>
            <w:r w:rsidR="001F6DD7" w:rsidRPr="00FE2839">
              <w:rPr>
                <w:rFonts w:ascii="Times New Roman" w:hAnsi="Times New Roman" w:cs="Times New Roman"/>
                <w:sz w:val="24"/>
                <w:lang w:val="fr-FR"/>
              </w:rPr>
              <w:t>, ainsi que</w:t>
            </w:r>
            <w:r w:rsidR="0008506B" w:rsidRPr="00FE2839">
              <w:rPr>
                <w:rFonts w:ascii="Times New Roman" w:hAnsi="Times New Roman" w:cs="Times New Roman"/>
                <w:sz w:val="24"/>
                <w:lang w:val="fr-FR"/>
              </w:rPr>
              <w:t xml:space="preserve"> les </w:t>
            </w:r>
            <w:proofErr w:type="spellStart"/>
            <w:r w:rsidR="0008506B" w:rsidRPr="00FE2839">
              <w:rPr>
                <w:rFonts w:ascii="Times New Roman" w:hAnsi="Times New Roman" w:cs="Times New Roman"/>
                <w:sz w:val="24"/>
                <w:lang w:val="fr-FR"/>
              </w:rPr>
              <w:t>se</w:t>
            </w:r>
            <w:r w:rsidRPr="00FE2839">
              <w:rPr>
                <w:rFonts w:ascii="Times New Roman" w:hAnsi="Times New Roman" w:cs="Times New Roman"/>
                <w:sz w:val="24"/>
                <w:lang w:val="fr-FR"/>
              </w:rPr>
              <w:t>lbés</w:t>
            </w:r>
            <w:proofErr w:type="spellEnd"/>
            <w:r w:rsidR="001F6DD7" w:rsidRPr="00FE2839">
              <w:rPr>
                <w:rFonts w:ascii="Times New Roman" w:hAnsi="Times New Roman" w:cs="Times New Roman"/>
                <w:sz w:val="24"/>
                <w:lang w:val="fr-FR"/>
              </w:rPr>
              <w:t xml:space="preserve"> chargés de la surveillance quotidienne des </w:t>
            </w:r>
            <w:proofErr w:type="spellStart"/>
            <w:r w:rsidR="001F6DD7" w:rsidRPr="00FE2839">
              <w:rPr>
                <w:rFonts w:ascii="Times New Roman" w:hAnsi="Times New Roman" w:cs="Times New Roman"/>
                <w:sz w:val="24"/>
                <w:lang w:val="fr-FR"/>
              </w:rPr>
              <w:t>Ndioulis</w:t>
            </w:r>
            <w:proofErr w:type="spellEnd"/>
            <w:r w:rsidR="001F6DD7" w:rsidRPr="00FE2839">
              <w:rPr>
                <w:rFonts w:ascii="Times New Roman" w:hAnsi="Times New Roman" w:cs="Times New Roman"/>
                <w:sz w:val="24"/>
                <w:lang w:val="fr-FR"/>
              </w:rPr>
              <w:t xml:space="preserve"> ou circoncis.</w:t>
            </w:r>
          </w:p>
          <w:p w:rsidR="00AD6C47" w:rsidRPr="00FE2839" w:rsidRDefault="00AD6C47" w:rsidP="00FE2839">
            <w:pPr>
              <w:spacing w:before="0" w:after="0"/>
              <w:ind w:right="144"/>
              <w:rPr>
                <w:rFonts w:ascii="Times New Roman" w:hAnsi="Times New Roman" w:cs="Times New Roman"/>
                <w:sz w:val="24"/>
                <w:lang w:val="fr-FR"/>
              </w:rPr>
            </w:pPr>
            <w:r w:rsidRPr="00FE2839">
              <w:rPr>
                <w:rFonts w:ascii="Times New Roman" w:hAnsi="Times New Roman" w:cs="Times New Roman"/>
                <w:sz w:val="24"/>
                <w:lang w:val="fr-FR"/>
              </w:rPr>
              <w:t xml:space="preserve">C’est un rituel </w:t>
            </w:r>
            <w:r w:rsidR="001F6DD7" w:rsidRPr="00FE2839">
              <w:rPr>
                <w:rFonts w:ascii="Times New Roman" w:hAnsi="Times New Roman" w:cs="Times New Roman"/>
                <w:sz w:val="24"/>
                <w:lang w:val="fr-FR"/>
              </w:rPr>
              <w:t xml:space="preserve">traditionnellement </w:t>
            </w:r>
            <w:r w:rsidRPr="00FE2839">
              <w:rPr>
                <w:rFonts w:ascii="Times New Roman" w:hAnsi="Times New Roman" w:cs="Times New Roman"/>
                <w:sz w:val="24"/>
                <w:lang w:val="fr-FR"/>
              </w:rPr>
              <w:t>destiné aux jeunes âgés de 18 à 22 ans. Aujourd’hui, avec le temps les choses ont beaucoup évolué car ne sont concernés que les jeunes dont l’âge est compris entre 7 et 16 ans.</w:t>
            </w:r>
          </w:p>
          <w:p w:rsidR="001F6DD7" w:rsidRPr="00FE2839" w:rsidRDefault="00EE7829" w:rsidP="00FE2839">
            <w:pPr>
              <w:rPr>
                <w:rFonts w:ascii="Times New Roman" w:hAnsi="Times New Roman" w:cs="Times New Roman"/>
                <w:sz w:val="24"/>
                <w:lang w:val="fr-FR"/>
              </w:rPr>
            </w:pPr>
            <w:r w:rsidRPr="00FE2839">
              <w:rPr>
                <w:rFonts w:ascii="Times New Roman" w:hAnsi="Times New Roman" w:cs="Times New Roman"/>
                <w:sz w:val="24"/>
                <w:lang w:val="fr-FR"/>
              </w:rPr>
              <w:t xml:space="preserve">Le </w:t>
            </w:r>
            <w:proofErr w:type="spellStart"/>
            <w:r w:rsidRPr="00FE2839">
              <w:rPr>
                <w:rFonts w:ascii="Times New Roman" w:hAnsi="Times New Roman" w:cs="Times New Roman"/>
                <w:sz w:val="24"/>
                <w:lang w:val="fr-FR"/>
              </w:rPr>
              <w:t>leul</w:t>
            </w:r>
            <w:proofErr w:type="spellEnd"/>
            <w:r w:rsidR="009F5338" w:rsidRPr="00FE2839">
              <w:rPr>
                <w:rFonts w:ascii="Times New Roman" w:hAnsi="Times New Roman" w:cs="Times New Roman"/>
                <w:sz w:val="24"/>
                <w:lang w:val="fr-FR"/>
              </w:rPr>
              <w:t xml:space="preserve"> </w:t>
            </w:r>
            <w:r w:rsidR="001F6DD7" w:rsidRPr="00FE2839">
              <w:rPr>
                <w:rFonts w:ascii="Times New Roman" w:hAnsi="Times New Roman" w:cs="Times New Roman"/>
                <w:sz w:val="24"/>
                <w:lang w:val="fr-FR"/>
              </w:rPr>
              <w:t>communautaire</w:t>
            </w:r>
            <w:r w:rsidRPr="00FE2839">
              <w:rPr>
                <w:rFonts w:ascii="Times New Roman" w:hAnsi="Times New Roman" w:cs="Times New Roman"/>
                <w:sz w:val="24"/>
                <w:lang w:val="fr-FR"/>
              </w:rPr>
              <w:t xml:space="preserve"> qui</w:t>
            </w:r>
            <w:r w:rsidR="00BC6D60">
              <w:rPr>
                <w:rFonts w:ascii="Times New Roman" w:hAnsi="Times New Roman" w:cs="Times New Roman"/>
                <w:sz w:val="24"/>
                <w:lang w:val="fr-FR"/>
              </w:rPr>
              <w:t xml:space="preserve"> en est à sa 16 </w:t>
            </w:r>
            <w:proofErr w:type="spellStart"/>
            <w:r w:rsidR="00BC6D60">
              <w:rPr>
                <w:rFonts w:ascii="Times New Roman" w:hAnsi="Times New Roman" w:cs="Times New Roman"/>
                <w:sz w:val="24"/>
                <w:lang w:val="fr-FR"/>
              </w:rPr>
              <w:t>éme</w:t>
            </w:r>
            <w:proofErr w:type="spellEnd"/>
            <w:r w:rsidR="00BC6D60">
              <w:rPr>
                <w:rFonts w:ascii="Times New Roman" w:hAnsi="Times New Roman" w:cs="Times New Roman"/>
                <w:sz w:val="24"/>
                <w:lang w:val="fr-FR"/>
              </w:rPr>
              <w:t xml:space="preserve"> édition se tient</w:t>
            </w:r>
            <w:r w:rsidRPr="00FE2839">
              <w:rPr>
                <w:rFonts w:ascii="Times New Roman" w:hAnsi="Times New Roman" w:cs="Times New Roman"/>
                <w:sz w:val="24"/>
                <w:lang w:val="fr-FR"/>
              </w:rPr>
              <w:t xml:space="preserve"> à Pikine</w:t>
            </w:r>
            <w:r w:rsidR="00BC6D60">
              <w:rPr>
                <w:rFonts w:ascii="Times New Roman" w:hAnsi="Times New Roman" w:cs="Times New Roman"/>
                <w:sz w:val="24"/>
                <w:lang w:val="fr-FR"/>
              </w:rPr>
              <w:t xml:space="preserve"> et</w:t>
            </w:r>
            <w:r w:rsidRPr="00FE2839">
              <w:rPr>
                <w:rFonts w:ascii="Times New Roman" w:hAnsi="Times New Roman" w:cs="Times New Roman"/>
                <w:sz w:val="24"/>
                <w:lang w:val="fr-FR"/>
              </w:rPr>
              <w:t xml:space="preserve"> </w:t>
            </w:r>
            <w:r w:rsidR="00526BDD" w:rsidRPr="00FE2839">
              <w:rPr>
                <w:rFonts w:ascii="Times New Roman" w:hAnsi="Times New Roman" w:cs="Times New Roman"/>
                <w:sz w:val="24"/>
                <w:lang w:val="fr-FR"/>
              </w:rPr>
              <w:t>dure trois (3) semaines. Les modules de formation portent sur les connaissances de l’environnement, la maîtrise des ressources humaines spéciales, la résistance et le courage, les jeux de société, l’histoire et les traditions, les chants et danses, la solidarité, etc.</w:t>
            </w:r>
          </w:p>
          <w:p w:rsidR="00526BDD" w:rsidRPr="00FE2839" w:rsidRDefault="00526BDD" w:rsidP="00FE2839">
            <w:pPr>
              <w:spacing w:before="240" w:after="240"/>
              <w:rPr>
                <w:rFonts w:ascii="Times New Roman" w:hAnsi="Times New Roman" w:cs="Times New Roman"/>
                <w:sz w:val="24"/>
                <w:lang w:val="fr-FR"/>
              </w:rPr>
            </w:pPr>
            <w:r w:rsidRPr="00FE2839">
              <w:rPr>
                <w:rFonts w:ascii="Times New Roman" w:hAnsi="Times New Roman" w:cs="Times New Roman"/>
                <w:sz w:val="24"/>
                <w:lang w:val="fr-FR"/>
              </w:rPr>
              <w:t>Les modules sont ponctués par</w:t>
            </w:r>
            <w:r w:rsidR="001F6DD7" w:rsidRPr="00FE2839">
              <w:rPr>
                <w:rFonts w:ascii="Times New Roman" w:hAnsi="Times New Roman" w:cs="Times New Roman"/>
                <w:sz w:val="24"/>
                <w:lang w:val="fr-FR"/>
              </w:rPr>
              <w:t xml:space="preserve"> des cérémonies dénommées </w:t>
            </w:r>
            <w:proofErr w:type="spellStart"/>
            <w:r w:rsidR="001F6DD7" w:rsidRPr="00FE2839">
              <w:rPr>
                <w:rFonts w:ascii="Times New Roman" w:hAnsi="Times New Roman" w:cs="Times New Roman"/>
                <w:sz w:val="24"/>
                <w:lang w:val="fr-FR"/>
              </w:rPr>
              <w:t>Kassak</w:t>
            </w:r>
            <w:proofErr w:type="spellEnd"/>
            <w:r w:rsidRPr="00FE2839">
              <w:rPr>
                <w:rFonts w:ascii="Times New Roman" w:hAnsi="Times New Roman" w:cs="Times New Roman"/>
                <w:sz w:val="24"/>
                <w:lang w:val="fr-FR"/>
              </w:rPr>
              <w:t xml:space="preserve"> qui est un espace d’échanges culturels, </w:t>
            </w:r>
            <w:r w:rsidR="00142E12">
              <w:rPr>
                <w:rFonts w:ascii="Times New Roman" w:hAnsi="Times New Roman" w:cs="Times New Roman"/>
                <w:sz w:val="24"/>
                <w:lang w:val="fr-FR"/>
              </w:rPr>
              <w:t>de restitution</w:t>
            </w:r>
            <w:r w:rsidRPr="00FE2839">
              <w:rPr>
                <w:rFonts w:ascii="Times New Roman" w:hAnsi="Times New Roman" w:cs="Times New Roman"/>
                <w:sz w:val="24"/>
                <w:lang w:val="fr-FR"/>
              </w:rPr>
              <w:t xml:space="preserve"> des résul</w:t>
            </w:r>
            <w:r w:rsidR="006B7348" w:rsidRPr="00FE2839">
              <w:rPr>
                <w:rFonts w:ascii="Times New Roman" w:hAnsi="Times New Roman" w:cs="Times New Roman"/>
                <w:sz w:val="24"/>
                <w:lang w:val="fr-FR"/>
              </w:rPr>
              <w:t>tats de la formation.</w:t>
            </w:r>
            <w:r w:rsidRPr="00FE2839">
              <w:rPr>
                <w:rFonts w:ascii="Times New Roman" w:hAnsi="Times New Roman" w:cs="Times New Roman"/>
                <w:sz w:val="24"/>
                <w:lang w:val="fr-FR"/>
              </w:rPr>
              <w:t xml:space="preserve"> C’est également, un moment </w:t>
            </w:r>
            <w:r w:rsidR="00142E12">
              <w:rPr>
                <w:rFonts w:ascii="Times New Roman" w:hAnsi="Times New Roman" w:cs="Times New Roman"/>
                <w:sz w:val="24"/>
                <w:lang w:val="fr-FR"/>
              </w:rPr>
              <w:t>d'animation culturelle</w:t>
            </w:r>
            <w:r w:rsidRPr="00FE2839">
              <w:rPr>
                <w:rFonts w:ascii="Times New Roman" w:hAnsi="Times New Roman" w:cs="Times New Roman"/>
                <w:sz w:val="24"/>
                <w:lang w:val="fr-FR"/>
              </w:rPr>
              <w:t>.</w:t>
            </w:r>
          </w:p>
          <w:p w:rsidR="00526BDD" w:rsidRPr="00FE2839" w:rsidRDefault="00526BDD" w:rsidP="00FE2839">
            <w:pPr>
              <w:spacing w:before="0" w:after="0"/>
              <w:ind w:right="144"/>
              <w:rPr>
                <w:rFonts w:ascii="Times New Roman" w:hAnsi="Times New Roman" w:cs="Times New Roman"/>
                <w:sz w:val="24"/>
                <w:lang w:val="fr-FR"/>
              </w:rPr>
            </w:pPr>
            <w:r w:rsidRPr="00FE2839">
              <w:rPr>
                <w:rFonts w:ascii="Times New Roman" w:hAnsi="Times New Roman" w:cs="Times New Roman"/>
                <w:sz w:val="24"/>
                <w:lang w:val="fr-FR"/>
              </w:rPr>
              <w:t>Le programme</w:t>
            </w:r>
            <w:r w:rsidR="00142E12">
              <w:rPr>
                <w:rFonts w:ascii="Times New Roman" w:hAnsi="Times New Roman" w:cs="Times New Roman"/>
                <w:sz w:val="24"/>
                <w:lang w:val="fr-FR"/>
              </w:rPr>
              <w:t xml:space="preserve"> du </w:t>
            </w:r>
            <w:proofErr w:type="spellStart"/>
            <w:r w:rsidR="00142E12">
              <w:rPr>
                <w:rFonts w:ascii="Times New Roman" w:hAnsi="Times New Roman" w:cs="Times New Roman"/>
                <w:sz w:val="24"/>
                <w:lang w:val="fr-FR"/>
              </w:rPr>
              <w:t>leul</w:t>
            </w:r>
            <w:proofErr w:type="spellEnd"/>
            <w:r w:rsidRPr="00FE2839">
              <w:rPr>
                <w:rFonts w:ascii="Times New Roman" w:hAnsi="Times New Roman" w:cs="Times New Roman"/>
                <w:sz w:val="24"/>
                <w:lang w:val="fr-FR"/>
              </w:rPr>
              <w:t xml:space="preserve"> vise également à donner aux enfants des outils adéquats qui leur permettront d’avoir un ancrage solide à partir de leurs </w:t>
            </w:r>
            <w:r w:rsidR="006B7348" w:rsidRPr="00FE2839">
              <w:rPr>
                <w:rFonts w:ascii="Times New Roman" w:hAnsi="Times New Roman" w:cs="Times New Roman"/>
                <w:sz w:val="24"/>
                <w:lang w:val="fr-FR"/>
              </w:rPr>
              <w:t>valeurs culturelles telles que</w:t>
            </w:r>
            <w:r w:rsidR="0008506B" w:rsidRPr="00FE2839">
              <w:rPr>
                <w:rFonts w:ascii="Times New Roman" w:hAnsi="Times New Roman" w:cs="Times New Roman"/>
                <w:sz w:val="24"/>
                <w:lang w:val="fr-FR"/>
              </w:rPr>
              <w:t xml:space="preserve"> </w:t>
            </w:r>
            <w:r w:rsidR="006B7348" w:rsidRPr="00FE2839">
              <w:rPr>
                <w:rFonts w:ascii="Times New Roman" w:hAnsi="Times New Roman" w:cs="Times New Roman"/>
                <w:sz w:val="24"/>
                <w:lang w:val="fr-FR"/>
              </w:rPr>
              <w:t xml:space="preserve">le </w:t>
            </w:r>
            <w:proofErr w:type="spellStart"/>
            <w:r w:rsidR="006B7348" w:rsidRPr="00FE2839">
              <w:rPr>
                <w:rFonts w:ascii="Times New Roman" w:hAnsi="Times New Roman" w:cs="Times New Roman"/>
                <w:sz w:val="24"/>
                <w:lang w:val="fr-FR"/>
              </w:rPr>
              <w:t>kersa</w:t>
            </w:r>
            <w:proofErr w:type="spellEnd"/>
            <w:r w:rsidR="006B7348" w:rsidRPr="00FE2839">
              <w:rPr>
                <w:rFonts w:ascii="Times New Roman" w:hAnsi="Times New Roman" w:cs="Times New Roman"/>
                <w:sz w:val="24"/>
                <w:lang w:val="fr-FR"/>
              </w:rPr>
              <w:t xml:space="preserve"> ou pudeur, le </w:t>
            </w:r>
            <w:proofErr w:type="spellStart"/>
            <w:r w:rsidR="006B7348" w:rsidRPr="00FE2839">
              <w:rPr>
                <w:rFonts w:ascii="Times New Roman" w:hAnsi="Times New Roman" w:cs="Times New Roman"/>
                <w:sz w:val="24"/>
                <w:lang w:val="fr-FR"/>
              </w:rPr>
              <w:t>jom</w:t>
            </w:r>
            <w:proofErr w:type="spellEnd"/>
            <w:r w:rsidR="006B7348" w:rsidRPr="00FE2839">
              <w:rPr>
                <w:rFonts w:ascii="Times New Roman" w:hAnsi="Times New Roman" w:cs="Times New Roman"/>
                <w:sz w:val="24"/>
                <w:lang w:val="fr-FR"/>
              </w:rPr>
              <w:t xml:space="preserve"> ou sens de l’honneur, le </w:t>
            </w:r>
            <w:proofErr w:type="spellStart"/>
            <w:r w:rsidR="006B7348" w:rsidRPr="00FE2839">
              <w:rPr>
                <w:rFonts w:ascii="Times New Roman" w:hAnsi="Times New Roman" w:cs="Times New Roman"/>
                <w:sz w:val="24"/>
                <w:lang w:val="fr-FR"/>
              </w:rPr>
              <w:t>ngor</w:t>
            </w:r>
            <w:proofErr w:type="spellEnd"/>
            <w:r w:rsidR="006B7348" w:rsidRPr="00FE2839">
              <w:rPr>
                <w:rFonts w:ascii="Times New Roman" w:hAnsi="Times New Roman" w:cs="Times New Roman"/>
                <w:sz w:val="24"/>
                <w:lang w:val="fr-FR"/>
              </w:rPr>
              <w:t xml:space="preserve"> ou dignité, le cousinage à plaisanterie et les noms de familles qui composent la société sénégalaise.</w:t>
            </w:r>
          </w:p>
          <w:p w:rsidR="006B7348" w:rsidRPr="00FE2839" w:rsidRDefault="006B7348" w:rsidP="00FE2839">
            <w:pPr>
              <w:spacing w:before="0" w:after="0"/>
              <w:ind w:right="144"/>
              <w:rPr>
                <w:rFonts w:ascii="Times New Roman" w:hAnsi="Times New Roman" w:cs="Times New Roman"/>
                <w:sz w:val="24"/>
                <w:lang w:val="fr-FR"/>
              </w:rPr>
            </w:pPr>
          </w:p>
          <w:p w:rsidR="00526BDD" w:rsidRPr="00FE2839" w:rsidRDefault="00142E12" w:rsidP="00FE2839">
            <w:pPr>
              <w:spacing w:before="0" w:after="0"/>
              <w:ind w:right="144"/>
              <w:rPr>
                <w:rFonts w:ascii="Times New Roman" w:hAnsi="Times New Roman" w:cs="Times New Roman"/>
                <w:sz w:val="24"/>
                <w:lang w:val="fr-FR"/>
              </w:rPr>
            </w:pPr>
            <w:r>
              <w:rPr>
                <w:rFonts w:ascii="Times New Roman" w:hAnsi="Times New Roman" w:cs="Times New Roman"/>
                <w:sz w:val="24"/>
                <w:lang w:val="fr-FR"/>
              </w:rPr>
              <w:t xml:space="preserve">Les 3 phases du </w:t>
            </w:r>
            <w:proofErr w:type="spellStart"/>
            <w:r>
              <w:rPr>
                <w:rFonts w:ascii="Times New Roman" w:hAnsi="Times New Roman" w:cs="Times New Roman"/>
                <w:sz w:val="24"/>
                <w:lang w:val="fr-FR"/>
              </w:rPr>
              <w:t>leul</w:t>
            </w:r>
            <w:proofErr w:type="spellEnd"/>
            <w:r>
              <w:rPr>
                <w:rFonts w:ascii="Times New Roman" w:hAnsi="Times New Roman" w:cs="Times New Roman"/>
                <w:sz w:val="24"/>
                <w:lang w:val="fr-FR"/>
              </w:rPr>
              <w:t xml:space="preserve"> sont:</w:t>
            </w:r>
          </w:p>
          <w:p w:rsidR="00526BDD" w:rsidRPr="00FE2839" w:rsidRDefault="00526BDD" w:rsidP="00FE2839">
            <w:pPr>
              <w:rPr>
                <w:rFonts w:ascii="Times New Roman" w:hAnsi="Times New Roman" w:cs="Times New Roman"/>
                <w:sz w:val="24"/>
                <w:lang w:val="fr-FR"/>
              </w:rPr>
            </w:pPr>
            <w:r w:rsidRPr="00FE2839">
              <w:rPr>
                <w:rFonts w:ascii="Times New Roman" w:hAnsi="Times New Roman" w:cs="Times New Roman"/>
                <w:sz w:val="24"/>
                <w:lang w:val="fr-FR"/>
              </w:rPr>
              <w:t xml:space="preserve">Phase 1 : Le </w:t>
            </w:r>
            <w:proofErr w:type="spellStart"/>
            <w:r w:rsidRPr="00FE2839">
              <w:rPr>
                <w:rFonts w:ascii="Times New Roman" w:hAnsi="Times New Roman" w:cs="Times New Roman"/>
                <w:sz w:val="24"/>
                <w:lang w:val="fr-FR"/>
              </w:rPr>
              <w:t>Ngomar</w:t>
            </w:r>
            <w:proofErr w:type="spellEnd"/>
            <w:r w:rsidRPr="00FE2839">
              <w:rPr>
                <w:rFonts w:ascii="Times New Roman" w:hAnsi="Times New Roman" w:cs="Times New Roman"/>
                <w:sz w:val="24"/>
                <w:lang w:val="fr-FR"/>
              </w:rPr>
              <w:t xml:space="preserve"> ou phase préparatoire</w:t>
            </w:r>
          </w:p>
          <w:p w:rsidR="00526BDD" w:rsidRPr="00FE2839" w:rsidRDefault="00526BDD" w:rsidP="00FE2839">
            <w:pPr>
              <w:rPr>
                <w:rFonts w:ascii="Times New Roman" w:hAnsi="Times New Roman" w:cs="Times New Roman"/>
                <w:sz w:val="24"/>
                <w:lang w:val="fr-FR"/>
              </w:rPr>
            </w:pPr>
            <w:r w:rsidRPr="00FE2839">
              <w:rPr>
                <w:rFonts w:ascii="Times New Roman" w:hAnsi="Times New Roman" w:cs="Times New Roman"/>
                <w:sz w:val="24"/>
                <w:lang w:val="fr-FR"/>
              </w:rPr>
              <w:t xml:space="preserve">Dans cette phase on inculque à l’enfant des valeurs comme </w:t>
            </w:r>
            <w:r w:rsidR="003E2AEE" w:rsidRPr="00FE2839">
              <w:rPr>
                <w:rFonts w:ascii="Times New Roman" w:hAnsi="Times New Roman" w:cs="Times New Roman"/>
                <w:sz w:val="24"/>
                <w:lang w:val="fr-FR"/>
              </w:rPr>
              <w:t>le courage</w:t>
            </w:r>
            <w:r w:rsidR="006B7348" w:rsidRPr="00FE2839">
              <w:rPr>
                <w:rFonts w:ascii="Times New Roman" w:hAnsi="Times New Roman" w:cs="Times New Roman"/>
                <w:sz w:val="24"/>
                <w:lang w:val="fr-FR"/>
              </w:rPr>
              <w:t xml:space="preserve"> et le sens de l’honneur afin qu’il puisse</w:t>
            </w:r>
            <w:r w:rsidR="003E2AEE" w:rsidRPr="00FE2839">
              <w:rPr>
                <w:rFonts w:ascii="Times New Roman" w:hAnsi="Times New Roman" w:cs="Times New Roman"/>
                <w:sz w:val="24"/>
                <w:lang w:val="fr-FR"/>
              </w:rPr>
              <w:t xml:space="preserve"> supporter l’opération à venir sans grincer les dents ni pleurer. Ce qui constituerai</w:t>
            </w:r>
            <w:r w:rsidR="006B7348" w:rsidRPr="00FE2839">
              <w:rPr>
                <w:rFonts w:ascii="Times New Roman" w:hAnsi="Times New Roman" w:cs="Times New Roman"/>
                <w:sz w:val="24"/>
                <w:lang w:val="fr-FR"/>
              </w:rPr>
              <w:t>t</w:t>
            </w:r>
            <w:r w:rsidR="003E2AEE" w:rsidRPr="00FE2839">
              <w:rPr>
                <w:rFonts w:ascii="Times New Roman" w:hAnsi="Times New Roman" w:cs="Times New Roman"/>
                <w:sz w:val="24"/>
                <w:lang w:val="fr-FR"/>
              </w:rPr>
              <w:t xml:space="preserve"> un déshonneur à sa lignée familiale.</w:t>
            </w:r>
          </w:p>
          <w:p w:rsidR="00526BDD" w:rsidRPr="00FE2839" w:rsidRDefault="006B7348" w:rsidP="00FE2839">
            <w:pPr>
              <w:rPr>
                <w:rFonts w:ascii="Times New Roman" w:hAnsi="Times New Roman" w:cs="Times New Roman"/>
                <w:sz w:val="24"/>
                <w:lang w:val="fr-FR"/>
              </w:rPr>
            </w:pPr>
            <w:r w:rsidRPr="00FE2839">
              <w:rPr>
                <w:rFonts w:ascii="Times New Roman" w:hAnsi="Times New Roman" w:cs="Times New Roman"/>
                <w:sz w:val="24"/>
                <w:lang w:val="fr-FR"/>
              </w:rPr>
              <w:lastRenderedPageBreak/>
              <w:t xml:space="preserve">Phase 2 : </w:t>
            </w:r>
            <w:r w:rsidR="00526BDD" w:rsidRPr="00FE2839">
              <w:rPr>
                <w:rFonts w:ascii="Times New Roman" w:hAnsi="Times New Roman" w:cs="Times New Roman"/>
                <w:sz w:val="24"/>
                <w:lang w:val="fr-FR"/>
              </w:rPr>
              <w:t>La circoncision</w:t>
            </w:r>
          </w:p>
          <w:p w:rsidR="00526BDD" w:rsidRPr="00FE2839" w:rsidRDefault="003E2AEE" w:rsidP="00FE2839">
            <w:pPr>
              <w:rPr>
                <w:rFonts w:ascii="Times New Roman" w:hAnsi="Times New Roman" w:cs="Times New Roman"/>
                <w:sz w:val="24"/>
                <w:lang w:val="fr-FR"/>
              </w:rPr>
            </w:pPr>
            <w:r w:rsidRPr="00FE2839">
              <w:rPr>
                <w:rFonts w:ascii="Times New Roman" w:hAnsi="Times New Roman" w:cs="Times New Roman"/>
                <w:sz w:val="24"/>
                <w:lang w:val="fr-FR"/>
              </w:rPr>
              <w:t>Il s’agit de l’opération consistant à l’ablation du prépuce de l’enfant. Traditionnellement elle se faisait sur un mortier renversé av</w:t>
            </w:r>
            <w:r w:rsidR="006B7348" w:rsidRPr="00FE2839">
              <w:rPr>
                <w:rFonts w:ascii="Times New Roman" w:hAnsi="Times New Roman" w:cs="Times New Roman"/>
                <w:sz w:val="24"/>
                <w:lang w:val="fr-FR"/>
              </w:rPr>
              <w:t xml:space="preserve">ec un couteau à double tranchants. </w:t>
            </w:r>
            <w:r w:rsidRPr="00FE2839">
              <w:rPr>
                <w:rFonts w:ascii="Times New Roman" w:hAnsi="Times New Roman" w:cs="Times New Roman"/>
                <w:sz w:val="24"/>
                <w:lang w:val="fr-FR"/>
              </w:rPr>
              <w:t>De nos jours elle se fait dans les structures sanitaires.</w:t>
            </w:r>
          </w:p>
          <w:p w:rsidR="00526BDD" w:rsidRPr="00FE2839" w:rsidRDefault="00526BDD" w:rsidP="00FE2839">
            <w:pPr>
              <w:rPr>
                <w:rFonts w:ascii="Times New Roman" w:hAnsi="Times New Roman" w:cs="Times New Roman"/>
                <w:sz w:val="24"/>
                <w:lang w:val="fr-FR"/>
              </w:rPr>
            </w:pPr>
            <w:r w:rsidRPr="00FE2839">
              <w:rPr>
                <w:rFonts w:ascii="Times New Roman" w:hAnsi="Times New Roman" w:cs="Times New Roman"/>
                <w:sz w:val="24"/>
                <w:lang w:val="fr-FR"/>
              </w:rPr>
              <w:t xml:space="preserve">Phase 3 : Le </w:t>
            </w:r>
            <w:proofErr w:type="spellStart"/>
            <w:r w:rsidRPr="00FE2839">
              <w:rPr>
                <w:rFonts w:ascii="Times New Roman" w:hAnsi="Times New Roman" w:cs="Times New Roman"/>
                <w:sz w:val="24"/>
                <w:lang w:val="fr-FR"/>
              </w:rPr>
              <w:t>Kasag</w:t>
            </w:r>
            <w:proofErr w:type="spellEnd"/>
            <w:r w:rsidRPr="00FE2839">
              <w:rPr>
                <w:rFonts w:ascii="Times New Roman" w:hAnsi="Times New Roman" w:cs="Times New Roman"/>
                <w:sz w:val="24"/>
                <w:lang w:val="fr-FR"/>
              </w:rPr>
              <w:t xml:space="preserve"> ou phase de restitution </w:t>
            </w:r>
          </w:p>
          <w:p w:rsidR="00526BDD" w:rsidRPr="00FE2839" w:rsidRDefault="003E2AEE" w:rsidP="00FE2839">
            <w:pPr>
              <w:rPr>
                <w:rFonts w:ascii="Times New Roman" w:hAnsi="Times New Roman" w:cs="Times New Roman"/>
                <w:sz w:val="24"/>
                <w:lang w:val="fr-FR"/>
              </w:rPr>
            </w:pPr>
            <w:r w:rsidRPr="00FE2839">
              <w:rPr>
                <w:rFonts w:ascii="Times New Roman" w:hAnsi="Times New Roman" w:cs="Times New Roman"/>
                <w:sz w:val="24"/>
                <w:lang w:val="fr-FR"/>
              </w:rPr>
              <w:t xml:space="preserve">Il s’agit de la </w:t>
            </w:r>
            <w:r w:rsidR="006B7348" w:rsidRPr="00FE2839">
              <w:rPr>
                <w:rFonts w:ascii="Times New Roman" w:hAnsi="Times New Roman" w:cs="Times New Roman"/>
                <w:sz w:val="24"/>
                <w:lang w:val="fr-FR"/>
              </w:rPr>
              <w:t>fête</w:t>
            </w:r>
            <w:r w:rsidRPr="00FE2839">
              <w:rPr>
                <w:rFonts w:ascii="Times New Roman" w:hAnsi="Times New Roman" w:cs="Times New Roman"/>
                <w:sz w:val="24"/>
                <w:lang w:val="fr-FR"/>
              </w:rPr>
              <w:t xml:space="preserve"> de </w:t>
            </w:r>
            <w:r w:rsidR="006B7348" w:rsidRPr="00FE2839">
              <w:rPr>
                <w:rFonts w:ascii="Times New Roman" w:hAnsi="Times New Roman" w:cs="Times New Roman"/>
                <w:sz w:val="24"/>
                <w:lang w:val="fr-FR"/>
              </w:rPr>
              <w:t>clôture</w:t>
            </w:r>
            <w:r w:rsidRPr="00FE2839">
              <w:rPr>
                <w:rFonts w:ascii="Times New Roman" w:hAnsi="Times New Roman" w:cs="Times New Roman"/>
                <w:sz w:val="24"/>
                <w:lang w:val="fr-FR"/>
              </w:rPr>
              <w:t xml:space="preserve"> du </w:t>
            </w:r>
            <w:proofErr w:type="spellStart"/>
            <w:r w:rsidRPr="00FE2839">
              <w:rPr>
                <w:rFonts w:ascii="Times New Roman" w:hAnsi="Times New Roman" w:cs="Times New Roman"/>
                <w:sz w:val="24"/>
                <w:lang w:val="fr-FR"/>
              </w:rPr>
              <w:t>Leul</w:t>
            </w:r>
            <w:proofErr w:type="spellEnd"/>
            <w:r w:rsidRPr="00FE2839">
              <w:rPr>
                <w:rFonts w:ascii="Times New Roman" w:hAnsi="Times New Roman" w:cs="Times New Roman"/>
                <w:sz w:val="24"/>
                <w:lang w:val="fr-FR"/>
              </w:rPr>
              <w:t xml:space="preserve"> au cours de laquelle il est procédé à la </w:t>
            </w:r>
            <w:r w:rsidR="00526BDD" w:rsidRPr="00FE2839">
              <w:rPr>
                <w:rFonts w:ascii="Times New Roman" w:hAnsi="Times New Roman" w:cs="Times New Roman"/>
                <w:sz w:val="24"/>
                <w:lang w:val="fr-FR"/>
              </w:rPr>
              <w:t>synthèse des connaissances acquises et de la mise en situation des initiés à restituer dans des jeux de rôle avec l’accompagnement de chants, de dance etc.</w:t>
            </w:r>
          </w:p>
          <w:p w:rsidR="00526BDD" w:rsidRPr="00FE2839" w:rsidRDefault="00526BDD" w:rsidP="00FE2839">
            <w:pPr>
              <w:rPr>
                <w:rFonts w:ascii="Times New Roman" w:hAnsi="Times New Roman" w:cs="Times New Roman"/>
                <w:sz w:val="24"/>
                <w:lang w:val="fr-FR"/>
              </w:rPr>
            </w:pPr>
            <w:r w:rsidRPr="00FE2839">
              <w:rPr>
                <w:rFonts w:ascii="Times New Roman" w:hAnsi="Times New Roman" w:cs="Times New Roman"/>
                <w:sz w:val="24"/>
                <w:lang w:val="fr-FR"/>
              </w:rPr>
              <w:t xml:space="preserve">Ces jeux </w:t>
            </w:r>
            <w:r w:rsidR="00142E12">
              <w:rPr>
                <w:rFonts w:ascii="Times New Roman" w:hAnsi="Times New Roman" w:cs="Times New Roman"/>
                <w:sz w:val="24"/>
                <w:lang w:val="fr-FR"/>
              </w:rPr>
              <w:t xml:space="preserve">de </w:t>
            </w:r>
            <w:r w:rsidRPr="00FE2839">
              <w:rPr>
                <w:rFonts w:ascii="Times New Roman" w:hAnsi="Times New Roman" w:cs="Times New Roman"/>
                <w:sz w:val="24"/>
                <w:lang w:val="fr-FR"/>
              </w:rPr>
              <w:t>rôles et les messages qui les accompagnent couvrent tous les aspects de la vie sociale et culturelle. Bref ils sont destinés à l’éducation et à la formation pour faire face au</w:t>
            </w:r>
            <w:r w:rsidR="00142E12">
              <w:rPr>
                <w:rFonts w:ascii="Times New Roman" w:hAnsi="Times New Roman" w:cs="Times New Roman"/>
                <w:sz w:val="24"/>
                <w:lang w:val="fr-FR"/>
              </w:rPr>
              <w:t>x</w:t>
            </w:r>
            <w:r w:rsidRPr="00FE2839">
              <w:rPr>
                <w:rFonts w:ascii="Times New Roman" w:hAnsi="Times New Roman" w:cs="Times New Roman"/>
                <w:sz w:val="24"/>
                <w:lang w:val="fr-FR"/>
              </w:rPr>
              <w:t xml:space="preserve"> </w:t>
            </w:r>
            <w:r w:rsidR="00142E12">
              <w:rPr>
                <w:rFonts w:ascii="Times New Roman" w:hAnsi="Times New Roman" w:cs="Times New Roman"/>
                <w:sz w:val="24"/>
                <w:lang w:val="fr-FR"/>
              </w:rPr>
              <w:t>difficultés</w:t>
            </w:r>
            <w:r w:rsidRPr="00FE2839">
              <w:rPr>
                <w:rFonts w:ascii="Times New Roman" w:hAnsi="Times New Roman" w:cs="Times New Roman"/>
                <w:sz w:val="24"/>
                <w:lang w:val="fr-FR"/>
              </w:rPr>
              <w:t xml:space="preserve"> de la vie</w:t>
            </w:r>
            <w:r w:rsidR="00FE2839" w:rsidRPr="00FE2839">
              <w:rPr>
                <w:rFonts w:ascii="Times New Roman" w:hAnsi="Times New Roman" w:cs="Times New Roman"/>
                <w:sz w:val="24"/>
                <w:lang w:val="fr-FR"/>
              </w:rPr>
              <w:t>.</w:t>
            </w:r>
          </w:p>
          <w:p w:rsidR="00C50236" w:rsidRPr="00FE2839" w:rsidRDefault="00C50236" w:rsidP="00FE2839">
            <w:pPr>
              <w:spacing w:before="0" w:after="0"/>
              <w:ind w:right="144"/>
              <w:rPr>
                <w:rFonts w:ascii="Times New Roman" w:hAnsi="Times New Roman" w:cs="Times New Roman"/>
                <w:sz w:val="24"/>
                <w:lang w:val="fr-FR"/>
              </w:rPr>
            </w:pPr>
          </w:p>
        </w:tc>
      </w:tr>
      <w:tr w:rsidR="00C92ED6" w:rsidRPr="003E2AEE" w:rsidTr="00971D6F">
        <w:tc>
          <w:tcPr>
            <w:tcW w:w="567" w:type="dxa"/>
            <w:shd w:val="clear" w:color="auto" w:fill="F2F2F2"/>
          </w:tcPr>
          <w:p w:rsidR="00C92ED6" w:rsidRPr="00C92ED6" w:rsidRDefault="00C92ED6" w:rsidP="00C50236">
            <w:pPr>
              <w:spacing w:before="100" w:beforeAutospacing="1" w:after="100" w:afterAutospacing="1"/>
              <w:jc w:val="right"/>
              <w:rPr>
                <w:b/>
                <w:sz w:val="18"/>
                <w:szCs w:val="18"/>
                <w:lang w:val="fr-FR" w:eastAsia="fr-FR"/>
              </w:rPr>
            </w:pPr>
            <w:r w:rsidRPr="00C92ED6">
              <w:rPr>
                <w:b/>
                <w:sz w:val="18"/>
                <w:szCs w:val="18"/>
                <w:lang w:val="fr-FR" w:eastAsia="fr-FR"/>
              </w:rPr>
              <w:lastRenderedPageBreak/>
              <w:t>2.</w:t>
            </w:r>
          </w:p>
        </w:tc>
        <w:tc>
          <w:tcPr>
            <w:tcW w:w="8283" w:type="dxa"/>
            <w:shd w:val="clear" w:color="auto" w:fill="F2F2F2"/>
          </w:tcPr>
          <w:p w:rsidR="00C92ED6" w:rsidRPr="00C92ED6" w:rsidRDefault="00C92ED6" w:rsidP="00C50236">
            <w:pPr>
              <w:spacing w:before="100" w:beforeAutospacing="1" w:after="100" w:afterAutospacing="1"/>
              <w:ind w:left="113"/>
              <w:jc w:val="left"/>
              <w:rPr>
                <w:b/>
                <w:bCs/>
                <w:caps/>
                <w:sz w:val="18"/>
                <w:szCs w:val="18"/>
                <w:lang w:val="fr-FR" w:eastAsia="fr-FR"/>
              </w:rPr>
            </w:pPr>
            <w:r w:rsidRPr="00C92ED6">
              <w:rPr>
                <w:b/>
                <w:bCs/>
                <w:caps/>
                <w:snapToGrid/>
                <w:sz w:val="18"/>
                <w:szCs w:val="18"/>
                <w:lang w:val="fr-FR" w:eastAsia="fr-FR"/>
              </w:rPr>
              <w:t>Caractéristiques de l’élément du PCI</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2.1.</w:t>
            </w:r>
          </w:p>
        </w:tc>
        <w:tc>
          <w:tcPr>
            <w:tcW w:w="8283" w:type="dxa"/>
            <w:shd w:val="clear" w:color="auto" w:fill="auto"/>
          </w:tcPr>
          <w:p w:rsidR="00C92ED6" w:rsidRPr="00BC6D60" w:rsidRDefault="00C92ED6" w:rsidP="00C50236">
            <w:pPr>
              <w:spacing w:before="100" w:beforeAutospacing="1" w:after="100" w:afterAutospacing="1"/>
              <w:ind w:left="113" w:righ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Praticien(s)/interprète(s) directement impliqué(s) dans la représentation ou la pratique de l’élément   du PCI (préciser nom, âge, sexe, catégorie professionnelle, etc.)</w:t>
            </w:r>
          </w:p>
          <w:p w:rsidR="00734661" w:rsidRPr="00B841F8" w:rsidRDefault="006B7348" w:rsidP="00C50236">
            <w:pPr>
              <w:spacing w:before="100" w:beforeAutospacing="1" w:after="100" w:afterAutospacing="1"/>
              <w:ind w:left="113" w:right="113"/>
              <w:jc w:val="left"/>
              <w:rPr>
                <w:rFonts w:ascii="Times New Roman" w:hAnsi="Times New Roman" w:cs="Times New Roman"/>
                <w:snapToGrid/>
                <w:color w:val="FF0000"/>
                <w:sz w:val="24"/>
                <w:lang w:val="fr-FR" w:eastAsia="fr-FR"/>
              </w:rPr>
            </w:pPr>
            <w:r w:rsidRPr="00BC6D60">
              <w:rPr>
                <w:rFonts w:ascii="Times New Roman" w:hAnsi="Times New Roman" w:cs="Times New Roman"/>
                <w:snapToGrid/>
                <w:sz w:val="24"/>
                <w:lang w:val="fr-FR" w:eastAsia="fr-FR"/>
              </w:rPr>
              <w:t>Opérateur, les tradipraticiens</w:t>
            </w:r>
            <w:r w:rsidR="00734661" w:rsidRPr="00BC6D60">
              <w:rPr>
                <w:rFonts w:ascii="Times New Roman" w:hAnsi="Times New Roman" w:cs="Times New Roman"/>
                <w:snapToGrid/>
                <w:sz w:val="24"/>
                <w:lang w:val="fr-FR" w:eastAsia="fr-FR"/>
              </w:rPr>
              <w:t xml:space="preserve">, les accompagnateurs autrement appelés </w:t>
            </w:r>
            <w:proofErr w:type="spellStart"/>
            <w:proofErr w:type="gramStart"/>
            <w:r w:rsidR="00734661" w:rsidRPr="00BC6D60">
              <w:rPr>
                <w:rFonts w:ascii="Times New Roman" w:hAnsi="Times New Roman" w:cs="Times New Roman"/>
                <w:snapToGrid/>
                <w:sz w:val="24"/>
                <w:lang w:val="fr-FR" w:eastAsia="fr-FR"/>
              </w:rPr>
              <w:t>selbés</w:t>
            </w:r>
            <w:proofErr w:type="spellEnd"/>
            <w:r w:rsidR="00734661" w:rsidRPr="00BC6D60">
              <w:rPr>
                <w:rFonts w:ascii="Times New Roman" w:hAnsi="Times New Roman" w:cs="Times New Roman"/>
                <w:snapToGrid/>
                <w:sz w:val="24"/>
                <w:lang w:val="fr-FR" w:eastAsia="fr-FR"/>
              </w:rPr>
              <w:t xml:space="preserve">  ,</w:t>
            </w:r>
            <w:proofErr w:type="gramEnd"/>
            <w:r w:rsidR="00734661" w:rsidRPr="00BC6D60">
              <w:rPr>
                <w:rFonts w:ascii="Times New Roman" w:hAnsi="Times New Roman" w:cs="Times New Roman"/>
                <w:snapToGrid/>
                <w:sz w:val="24"/>
                <w:lang w:val="fr-FR" w:eastAsia="fr-FR"/>
              </w:rPr>
              <w:t xml:space="preserve"> l’intendante appelée </w:t>
            </w:r>
            <w:proofErr w:type="spellStart"/>
            <w:r w:rsidR="00734661" w:rsidRPr="00BC6D60">
              <w:rPr>
                <w:rFonts w:ascii="Times New Roman" w:hAnsi="Times New Roman" w:cs="Times New Roman"/>
                <w:snapToGrid/>
                <w:sz w:val="24"/>
                <w:lang w:val="fr-FR" w:eastAsia="fr-FR"/>
              </w:rPr>
              <w:t>yayoumbare</w:t>
            </w:r>
            <w:proofErr w:type="spellEnd"/>
            <w:r w:rsidR="00B841F8">
              <w:rPr>
                <w:rFonts w:ascii="Times New Roman" w:hAnsi="Times New Roman" w:cs="Times New Roman"/>
                <w:snapToGrid/>
                <w:sz w:val="24"/>
                <w:lang w:val="fr-FR" w:eastAsia="fr-FR"/>
              </w:rPr>
              <w:t xml:space="preserve"> </w:t>
            </w:r>
            <w:r w:rsidR="00B841F8" w:rsidRPr="00B841F8">
              <w:rPr>
                <w:rFonts w:ascii="Times New Roman" w:hAnsi="Times New Roman" w:cs="Times New Roman"/>
                <w:snapToGrid/>
                <w:color w:val="FF0000"/>
                <w:sz w:val="24"/>
                <w:lang w:val="fr-FR" w:eastAsia="fr-FR"/>
              </w:rPr>
              <w:t>(décrire leur rôle)</w:t>
            </w:r>
          </w:p>
          <w:p w:rsidR="00142E12" w:rsidRPr="00BC6D60" w:rsidRDefault="00142E12" w:rsidP="00C50236">
            <w:pPr>
              <w:spacing w:before="100" w:beforeAutospacing="1" w:after="100" w:afterAutospacing="1"/>
              <w:ind w:left="113" w:right="113"/>
              <w:jc w:val="left"/>
              <w:rPr>
                <w:rFonts w:ascii="Times New Roman" w:hAnsi="Times New Roman" w:cs="Times New Roman"/>
                <w:b/>
                <w:bCs/>
                <w:caps/>
                <w:kern w:val="28"/>
                <w:sz w:val="24"/>
                <w:lang w:val="fr-FR" w:eastAsia="fr-FR"/>
              </w:rPr>
            </w:pP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2.2.</w:t>
            </w:r>
          </w:p>
        </w:tc>
        <w:tc>
          <w:tcPr>
            <w:tcW w:w="8283" w:type="dxa"/>
            <w:shd w:val="clear" w:color="auto" w:fill="auto"/>
          </w:tcPr>
          <w:p w:rsidR="00C92ED6" w:rsidRPr="00BC6D60" w:rsidRDefault="00C92ED6" w:rsidP="00C50236">
            <w:pPr>
              <w:spacing w:before="100" w:beforeAutospacing="1" w:after="100" w:afterAutospacing="1"/>
              <w:ind w:left="113" w:righ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Autres personnes de la communauté qui, sans être directement impliquées, contribuent à la pratique de l’élément ou en facilitent la pratique ou la transmission (préparation de la scène, costumes, formation, supervision)</w:t>
            </w:r>
          </w:p>
          <w:p w:rsidR="00142E12" w:rsidRPr="00BC6D60" w:rsidRDefault="00734661" w:rsidP="00734661">
            <w:pPr>
              <w:spacing w:before="100" w:beforeAutospacing="1" w:after="100" w:afterAutospacing="1"/>
              <w:ind w:left="113" w:righ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 xml:space="preserve">Familles des </w:t>
            </w:r>
            <w:r w:rsidR="006B7348" w:rsidRPr="00BC6D60">
              <w:rPr>
                <w:rFonts w:ascii="Times New Roman" w:hAnsi="Times New Roman" w:cs="Times New Roman"/>
                <w:snapToGrid/>
                <w:sz w:val="24"/>
                <w:lang w:val="fr-FR" w:eastAsia="fr-FR"/>
              </w:rPr>
              <w:t>circoncis,</w:t>
            </w:r>
            <w:r w:rsidRPr="00BC6D60">
              <w:rPr>
                <w:rFonts w:ascii="Times New Roman" w:hAnsi="Times New Roman" w:cs="Times New Roman"/>
                <w:snapToGrid/>
                <w:sz w:val="24"/>
                <w:lang w:val="fr-FR" w:eastAsia="fr-FR"/>
              </w:rPr>
              <w:t xml:space="preserve"> collectivités </w:t>
            </w:r>
            <w:r w:rsidR="006B7348" w:rsidRPr="00BC6D60">
              <w:rPr>
                <w:rFonts w:ascii="Times New Roman" w:hAnsi="Times New Roman" w:cs="Times New Roman"/>
                <w:snapToGrid/>
                <w:sz w:val="24"/>
                <w:lang w:val="fr-FR" w:eastAsia="fr-FR"/>
              </w:rPr>
              <w:t>territoriales,</w:t>
            </w:r>
            <w:r w:rsidRPr="00BC6D60">
              <w:rPr>
                <w:rFonts w:ascii="Times New Roman" w:hAnsi="Times New Roman" w:cs="Times New Roman"/>
                <w:snapToGrid/>
                <w:sz w:val="24"/>
                <w:lang w:val="fr-FR" w:eastAsia="fr-FR"/>
              </w:rPr>
              <w:t xml:space="preserve"> </w:t>
            </w:r>
            <w:r w:rsidR="00791AD0" w:rsidRPr="00BC6D60">
              <w:rPr>
                <w:rFonts w:ascii="Times New Roman" w:hAnsi="Times New Roman" w:cs="Times New Roman"/>
                <w:snapToGrid/>
                <w:sz w:val="24"/>
                <w:lang w:val="fr-FR" w:eastAsia="fr-FR"/>
              </w:rPr>
              <w:t xml:space="preserve">les instituts culturels (Centre culturel Blaise Senghor et Complexe culturel Léopold </w:t>
            </w:r>
            <w:proofErr w:type="spellStart"/>
            <w:r w:rsidR="00791AD0" w:rsidRPr="00BC6D60">
              <w:rPr>
                <w:rFonts w:ascii="Times New Roman" w:hAnsi="Times New Roman" w:cs="Times New Roman"/>
                <w:snapToGrid/>
                <w:sz w:val="24"/>
                <w:lang w:val="fr-FR" w:eastAsia="fr-FR"/>
              </w:rPr>
              <w:t>Sédar</w:t>
            </w:r>
            <w:proofErr w:type="spellEnd"/>
            <w:r w:rsidR="00791AD0" w:rsidRPr="00BC6D60">
              <w:rPr>
                <w:rFonts w:ascii="Times New Roman" w:hAnsi="Times New Roman" w:cs="Times New Roman"/>
                <w:snapToGrid/>
                <w:sz w:val="24"/>
                <w:lang w:val="fr-FR" w:eastAsia="fr-FR"/>
              </w:rPr>
              <w:t xml:space="preserve"> Senghor de Pikine).</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2.3.</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Langue(s) ou registre(s) de langue utilisée(s)</w:t>
            </w:r>
          </w:p>
          <w:p w:rsidR="00734661" w:rsidRDefault="00734661"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Wolof</w:t>
            </w:r>
          </w:p>
          <w:p w:rsidR="00142E12" w:rsidRPr="00BC6D60" w:rsidRDefault="00142E12" w:rsidP="00C50236">
            <w:pPr>
              <w:spacing w:before="100" w:beforeAutospacing="1" w:after="100" w:afterAutospacing="1"/>
              <w:ind w:left="113"/>
              <w:jc w:val="left"/>
              <w:rPr>
                <w:rFonts w:ascii="Times New Roman" w:hAnsi="Times New Roman" w:cs="Times New Roman"/>
                <w:b/>
                <w:bCs/>
                <w:caps/>
                <w:kern w:val="28"/>
                <w:sz w:val="24"/>
                <w:lang w:val="fr-FR" w:eastAsia="fr-FR"/>
              </w:rPr>
            </w:pP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2.4.</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Éléments matériels (instruments, vêtements ou lieu[x] spécifiques, objets rituels), le cas échéant,    associés à la pratique ou à la transmission de l’élément du PCI</w:t>
            </w:r>
          </w:p>
          <w:p w:rsidR="00734661" w:rsidRDefault="00734661"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 xml:space="preserve">Boubou du </w:t>
            </w:r>
            <w:r w:rsidR="006B7348" w:rsidRPr="00BC6D60">
              <w:rPr>
                <w:rFonts w:ascii="Times New Roman" w:hAnsi="Times New Roman" w:cs="Times New Roman"/>
                <w:snapToGrid/>
                <w:sz w:val="24"/>
                <w:lang w:val="fr-FR" w:eastAsia="fr-FR"/>
              </w:rPr>
              <w:t>circoncis,</w:t>
            </w:r>
            <w:r w:rsidR="00876106" w:rsidRPr="00BC6D60">
              <w:rPr>
                <w:rFonts w:ascii="Times New Roman" w:hAnsi="Times New Roman" w:cs="Times New Roman"/>
                <w:snapToGrid/>
                <w:sz w:val="24"/>
                <w:lang w:val="fr-FR" w:eastAsia="fr-FR"/>
              </w:rPr>
              <w:t xml:space="preserve"> </w:t>
            </w:r>
            <w:r w:rsidR="00CF54CB" w:rsidRPr="00BC6D60">
              <w:rPr>
                <w:rFonts w:ascii="Times New Roman" w:hAnsi="Times New Roman" w:cs="Times New Roman"/>
                <w:snapToGrid/>
                <w:sz w:val="24"/>
                <w:lang w:val="fr-FR" w:eastAsia="fr-FR"/>
              </w:rPr>
              <w:t>bâton</w:t>
            </w:r>
            <w:r w:rsidR="00876106" w:rsidRPr="00BC6D60">
              <w:rPr>
                <w:rFonts w:ascii="Times New Roman" w:hAnsi="Times New Roman" w:cs="Times New Roman"/>
                <w:snapToGrid/>
                <w:sz w:val="24"/>
                <w:lang w:val="fr-FR" w:eastAsia="fr-FR"/>
              </w:rPr>
              <w:t xml:space="preserve"> </w:t>
            </w:r>
            <w:r w:rsidR="006B7348" w:rsidRPr="00BC6D60">
              <w:rPr>
                <w:rFonts w:ascii="Times New Roman" w:hAnsi="Times New Roman" w:cs="Times New Roman"/>
                <w:snapToGrid/>
                <w:sz w:val="24"/>
                <w:lang w:val="fr-FR" w:eastAsia="fr-FR"/>
              </w:rPr>
              <w:t xml:space="preserve">du circoncis, appelé </w:t>
            </w:r>
            <w:proofErr w:type="spellStart"/>
            <w:r w:rsidR="006B7348" w:rsidRPr="00B841F8">
              <w:rPr>
                <w:rFonts w:ascii="Times New Roman" w:hAnsi="Times New Roman" w:cs="Times New Roman"/>
                <w:i/>
                <w:snapToGrid/>
                <w:sz w:val="24"/>
                <w:lang w:val="fr-FR" w:eastAsia="fr-FR"/>
              </w:rPr>
              <w:t>lingué</w:t>
            </w:r>
            <w:proofErr w:type="spellEnd"/>
            <w:r w:rsidR="006B7348" w:rsidRPr="00BC6D60">
              <w:rPr>
                <w:rFonts w:ascii="Times New Roman" w:hAnsi="Times New Roman" w:cs="Times New Roman"/>
                <w:snapToGrid/>
                <w:sz w:val="24"/>
                <w:lang w:val="fr-FR" w:eastAsia="fr-FR"/>
              </w:rPr>
              <w:t>, les colliers de perles et amulettes</w:t>
            </w:r>
            <w:r w:rsidRPr="00BC6D60">
              <w:rPr>
                <w:rFonts w:ascii="Times New Roman" w:hAnsi="Times New Roman" w:cs="Times New Roman"/>
                <w:snapToGrid/>
                <w:sz w:val="24"/>
                <w:lang w:val="fr-FR" w:eastAsia="fr-FR"/>
              </w:rPr>
              <w:t xml:space="preserve">, les </w:t>
            </w:r>
            <w:proofErr w:type="spellStart"/>
            <w:r w:rsidRPr="00BC6D60">
              <w:rPr>
                <w:rFonts w:ascii="Times New Roman" w:hAnsi="Times New Roman" w:cs="Times New Roman"/>
                <w:snapToGrid/>
                <w:sz w:val="24"/>
                <w:lang w:val="fr-FR" w:eastAsia="fr-FR"/>
              </w:rPr>
              <w:t>tam</w:t>
            </w:r>
            <w:proofErr w:type="spellEnd"/>
            <w:r w:rsidRPr="00BC6D60">
              <w:rPr>
                <w:rFonts w:ascii="Times New Roman" w:hAnsi="Times New Roman" w:cs="Times New Roman"/>
                <w:snapToGrid/>
                <w:sz w:val="24"/>
                <w:lang w:val="fr-FR" w:eastAsia="fr-FR"/>
              </w:rPr>
              <w:t xml:space="preserve">- </w:t>
            </w:r>
            <w:proofErr w:type="spellStart"/>
            <w:r w:rsidRPr="00BC6D60">
              <w:rPr>
                <w:rFonts w:ascii="Times New Roman" w:hAnsi="Times New Roman" w:cs="Times New Roman"/>
                <w:snapToGrid/>
                <w:sz w:val="24"/>
                <w:lang w:val="fr-FR" w:eastAsia="fr-FR"/>
              </w:rPr>
              <w:t>tam</w:t>
            </w:r>
            <w:proofErr w:type="spellEnd"/>
          </w:p>
          <w:p w:rsidR="00142E12" w:rsidRPr="00BC6D60" w:rsidRDefault="00142E12" w:rsidP="00C50236">
            <w:pPr>
              <w:spacing w:before="100" w:beforeAutospacing="1" w:after="100" w:afterAutospacing="1"/>
              <w:ind w:left="113"/>
              <w:jc w:val="left"/>
              <w:rPr>
                <w:rFonts w:ascii="Times New Roman" w:hAnsi="Times New Roman" w:cs="Times New Roman"/>
                <w:b/>
                <w:bCs/>
                <w:caps/>
                <w:kern w:val="28"/>
                <w:sz w:val="24"/>
                <w:lang w:val="fr-FR" w:eastAsia="fr-FR"/>
              </w:rPr>
            </w:pP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2.5.</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Autres éléments immatériels (le cas échéant) associés à la pratique ou à la transmission de l’élément du PCI</w:t>
            </w:r>
          </w:p>
          <w:p w:rsidR="00CF54CB" w:rsidRPr="00BC6D60" w:rsidRDefault="006B7348" w:rsidP="002E4EF0">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Pas de danses</w:t>
            </w:r>
            <w:r w:rsidR="00CF54CB" w:rsidRPr="00BC6D60">
              <w:rPr>
                <w:rFonts w:ascii="Times New Roman" w:hAnsi="Times New Roman" w:cs="Times New Roman"/>
                <w:snapToGrid/>
                <w:sz w:val="24"/>
                <w:lang w:val="fr-FR" w:eastAsia="fr-FR"/>
              </w:rPr>
              <w:t>,</w:t>
            </w:r>
            <w:r w:rsidR="002E4EF0" w:rsidRPr="00BC6D60">
              <w:rPr>
                <w:rFonts w:ascii="Times New Roman" w:hAnsi="Times New Roman" w:cs="Times New Roman"/>
                <w:snapToGrid/>
                <w:sz w:val="24"/>
                <w:lang w:val="fr-FR" w:eastAsia="fr-FR"/>
              </w:rPr>
              <w:t xml:space="preserve"> chants</w:t>
            </w:r>
            <w:r w:rsidR="00CF54CB" w:rsidRPr="00BC6D60">
              <w:rPr>
                <w:rFonts w:ascii="Times New Roman" w:hAnsi="Times New Roman" w:cs="Times New Roman"/>
                <w:snapToGrid/>
                <w:sz w:val="24"/>
                <w:lang w:val="fr-FR" w:eastAsia="fr-FR"/>
              </w:rPr>
              <w:t xml:space="preserve">, </w:t>
            </w:r>
            <w:r w:rsidR="002E4EF0" w:rsidRPr="00BC6D60">
              <w:rPr>
                <w:rFonts w:ascii="Times New Roman" w:hAnsi="Times New Roman" w:cs="Times New Roman"/>
                <w:snapToGrid/>
                <w:sz w:val="24"/>
                <w:lang w:val="fr-FR" w:eastAsia="fr-FR"/>
              </w:rPr>
              <w:t>devinettes, proverbes contes</w:t>
            </w:r>
            <w:r w:rsidR="00CF54CB" w:rsidRPr="00BC6D60">
              <w:rPr>
                <w:rFonts w:ascii="Times New Roman" w:hAnsi="Times New Roman" w:cs="Times New Roman"/>
                <w:snapToGrid/>
                <w:sz w:val="24"/>
                <w:lang w:val="fr-FR" w:eastAsia="fr-FR"/>
              </w:rPr>
              <w:t xml:space="preserve">, </w:t>
            </w:r>
            <w:r w:rsidR="002E4EF0" w:rsidRPr="00BC6D60">
              <w:rPr>
                <w:rFonts w:ascii="Times New Roman" w:hAnsi="Times New Roman" w:cs="Times New Roman"/>
                <w:snapToGrid/>
                <w:sz w:val="24"/>
                <w:lang w:val="fr-FR" w:eastAsia="fr-FR"/>
              </w:rPr>
              <w:t>légendes,</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2.6.</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Pratiques coutumières (le cas échéant) régissant l’accès à l’élément du PCI ou à certains de ses aspects</w:t>
            </w:r>
          </w:p>
          <w:p w:rsidR="00CF54CB" w:rsidRPr="00BC6D60" w:rsidRDefault="00CF54CB" w:rsidP="00C5023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Préparation mystique des familles</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lastRenderedPageBreak/>
              <w:t>2.7.</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Modes de transmission aux autres membres de la communauté</w:t>
            </w:r>
          </w:p>
          <w:p w:rsidR="00CF54CB" w:rsidRPr="00BC6D60" w:rsidRDefault="00CF54CB" w:rsidP="00C5023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la participation directe à la cérémonie</w:t>
            </w:r>
          </w:p>
        </w:tc>
      </w:tr>
      <w:tr w:rsidR="00C92ED6" w:rsidRPr="003E2AEE" w:rsidTr="00971D6F">
        <w:tc>
          <w:tcPr>
            <w:tcW w:w="567" w:type="dxa"/>
            <w:tcBorders>
              <w:bottom w:val="single" w:sz="4" w:space="0" w:color="auto"/>
            </w:tcBorders>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2.8.</w:t>
            </w:r>
          </w:p>
        </w:tc>
        <w:tc>
          <w:tcPr>
            <w:tcW w:w="8283" w:type="dxa"/>
            <w:tcBorders>
              <w:bottom w:val="single" w:sz="4" w:space="0" w:color="auto"/>
            </w:tcBorders>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Organisations concernées (organisations communautaires, ONG ou autres, le cas échéant)</w:t>
            </w:r>
          </w:p>
          <w:p w:rsidR="00A510A1" w:rsidRPr="00BC6D60" w:rsidRDefault="00A510A1" w:rsidP="00A510A1">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 xml:space="preserve">Association des </w:t>
            </w:r>
            <w:r w:rsidR="00B841F8" w:rsidRPr="00BC6D60">
              <w:rPr>
                <w:rFonts w:ascii="Times New Roman" w:hAnsi="Times New Roman" w:cs="Times New Roman"/>
                <w:snapToGrid/>
                <w:sz w:val="24"/>
                <w:lang w:val="fr-FR" w:eastAsia="fr-FR"/>
              </w:rPr>
              <w:t>tradipraticiens,</w:t>
            </w:r>
            <w:r w:rsidRPr="00BC6D60">
              <w:rPr>
                <w:rFonts w:ascii="Times New Roman" w:hAnsi="Times New Roman" w:cs="Times New Roman"/>
                <w:snapToGrid/>
                <w:sz w:val="24"/>
                <w:lang w:val="fr-FR" w:eastAsia="fr-FR"/>
              </w:rPr>
              <w:t xml:space="preserve"> les instituts culturels (Centre c</w:t>
            </w:r>
            <w:r w:rsidR="00876106" w:rsidRPr="00BC6D60">
              <w:rPr>
                <w:rFonts w:ascii="Times New Roman" w:hAnsi="Times New Roman" w:cs="Times New Roman"/>
                <w:snapToGrid/>
                <w:sz w:val="24"/>
                <w:lang w:val="fr-FR" w:eastAsia="fr-FR"/>
              </w:rPr>
              <w:t>ulturel Blaise Senghor et Complexe</w:t>
            </w:r>
            <w:r w:rsidRPr="00BC6D60">
              <w:rPr>
                <w:rFonts w:ascii="Times New Roman" w:hAnsi="Times New Roman" w:cs="Times New Roman"/>
                <w:snapToGrid/>
                <w:sz w:val="24"/>
                <w:lang w:val="fr-FR" w:eastAsia="fr-FR"/>
              </w:rPr>
              <w:t xml:space="preserve"> culturel Léopold </w:t>
            </w:r>
            <w:proofErr w:type="spellStart"/>
            <w:r w:rsidRPr="00BC6D60">
              <w:rPr>
                <w:rFonts w:ascii="Times New Roman" w:hAnsi="Times New Roman" w:cs="Times New Roman"/>
                <w:snapToGrid/>
                <w:sz w:val="24"/>
                <w:lang w:val="fr-FR" w:eastAsia="fr-FR"/>
              </w:rPr>
              <w:t>Sédar</w:t>
            </w:r>
            <w:proofErr w:type="spellEnd"/>
            <w:r w:rsidRPr="00BC6D60">
              <w:rPr>
                <w:rFonts w:ascii="Times New Roman" w:hAnsi="Times New Roman" w:cs="Times New Roman"/>
                <w:snapToGrid/>
                <w:sz w:val="24"/>
                <w:lang w:val="fr-FR" w:eastAsia="fr-FR"/>
              </w:rPr>
              <w:t xml:space="preserve"> Senghor de Pikine)</w:t>
            </w:r>
            <w:r w:rsidR="00FE2839" w:rsidRPr="00BC6D60">
              <w:rPr>
                <w:rFonts w:ascii="Times New Roman" w:hAnsi="Times New Roman" w:cs="Times New Roman"/>
                <w:snapToGrid/>
                <w:sz w:val="24"/>
                <w:lang w:val="fr-FR" w:eastAsia="fr-FR"/>
              </w:rPr>
              <w:t>.</w:t>
            </w:r>
          </w:p>
          <w:p w:rsidR="00CF54CB" w:rsidRPr="00BC6D60" w:rsidRDefault="00CF54CB" w:rsidP="00C50236">
            <w:pPr>
              <w:spacing w:before="100" w:beforeAutospacing="1" w:after="100" w:afterAutospacing="1"/>
              <w:ind w:left="113"/>
              <w:jc w:val="left"/>
              <w:rPr>
                <w:rFonts w:ascii="Times New Roman" w:hAnsi="Times New Roman" w:cs="Times New Roman"/>
                <w:b/>
                <w:bCs/>
                <w:caps/>
                <w:kern w:val="28"/>
                <w:sz w:val="24"/>
                <w:lang w:val="fr-FR" w:eastAsia="fr-FR"/>
              </w:rPr>
            </w:pPr>
          </w:p>
        </w:tc>
      </w:tr>
      <w:tr w:rsidR="00C92ED6" w:rsidRPr="003E2AEE" w:rsidTr="00971D6F">
        <w:tc>
          <w:tcPr>
            <w:tcW w:w="567" w:type="dxa"/>
            <w:shd w:val="clear" w:color="auto" w:fill="F2F2F2"/>
          </w:tcPr>
          <w:p w:rsidR="00C92ED6" w:rsidRPr="00C92ED6" w:rsidRDefault="00C92ED6" w:rsidP="00C50236">
            <w:pPr>
              <w:spacing w:before="100" w:beforeAutospacing="1" w:after="100" w:afterAutospacing="1"/>
              <w:jc w:val="right"/>
              <w:rPr>
                <w:b/>
                <w:sz w:val="18"/>
                <w:szCs w:val="18"/>
                <w:lang w:val="fr-FR" w:eastAsia="fr-FR"/>
              </w:rPr>
            </w:pPr>
            <w:r w:rsidRPr="00C92ED6">
              <w:rPr>
                <w:b/>
                <w:sz w:val="18"/>
                <w:szCs w:val="18"/>
                <w:lang w:val="fr-FR" w:eastAsia="fr-FR"/>
              </w:rPr>
              <w:t>3.</w:t>
            </w:r>
          </w:p>
        </w:tc>
        <w:tc>
          <w:tcPr>
            <w:tcW w:w="8283" w:type="dxa"/>
            <w:shd w:val="clear" w:color="auto" w:fill="F2F2F2"/>
          </w:tcPr>
          <w:p w:rsidR="00C92ED6" w:rsidRPr="00BC6D60" w:rsidRDefault="00C92ED6" w:rsidP="00C50236">
            <w:pPr>
              <w:spacing w:before="100" w:beforeAutospacing="1" w:after="100" w:afterAutospacing="1"/>
              <w:ind w:left="113"/>
              <w:jc w:val="left"/>
              <w:rPr>
                <w:rFonts w:ascii="Times New Roman" w:hAnsi="Times New Roman" w:cs="Times New Roman"/>
                <w:b/>
                <w:bCs/>
                <w:caps/>
                <w:sz w:val="24"/>
                <w:lang w:val="fr-FR" w:eastAsia="fr-FR"/>
              </w:rPr>
            </w:pPr>
            <w:r w:rsidRPr="00BC6D60">
              <w:rPr>
                <w:rFonts w:ascii="Times New Roman" w:hAnsi="Times New Roman" w:cs="Times New Roman"/>
                <w:b/>
                <w:bCs/>
                <w:caps/>
                <w:snapToGrid/>
                <w:sz w:val="24"/>
                <w:lang w:val="fr-FR" w:eastAsia="fr-FR"/>
              </w:rPr>
              <w:t>État de l’élément du PCI : viabilité (voir commentaires ci-après)</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3.1.</w:t>
            </w:r>
          </w:p>
        </w:tc>
        <w:tc>
          <w:tcPr>
            <w:tcW w:w="8283" w:type="dxa"/>
            <w:shd w:val="clear" w:color="auto" w:fill="auto"/>
          </w:tcPr>
          <w:p w:rsidR="00C92ED6" w:rsidRDefault="00C92ED6" w:rsidP="00C50236">
            <w:pPr>
              <w:spacing w:before="100" w:beforeAutospacing="1" w:after="100" w:afterAutospacing="1"/>
              <w:ind w:left="113" w:right="57"/>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Menaces éventuelles sur la pratique permanente de l’élément dans la (les) communauté(s) concernée(s)</w:t>
            </w:r>
          </w:p>
          <w:p w:rsidR="00791AD0" w:rsidRPr="00BC6D60" w:rsidRDefault="00791AD0" w:rsidP="00C50236">
            <w:pPr>
              <w:spacing w:before="100" w:beforeAutospacing="1" w:after="100" w:afterAutospacing="1"/>
              <w:ind w:left="113" w:right="57"/>
              <w:jc w:val="left"/>
              <w:rPr>
                <w:rFonts w:ascii="Times New Roman" w:hAnsi="Times New Roman" w:cs="Times New Roman"/>
                <w:b/>
                <w:bCs/>
                <w:caps/>
                <w:kern w:val="28"/>
                <w:sz w:val="24"/>
                <w:lang w:val="fr-FR" w:eastAsia="fr-FR"/>
              </w:rPr>
            </w:pPr>
            <w:r w:rsidRPr="00B841F8">
              <w:rPr>
                <w:rFonts w:ascii="Times New Roman" w:hAnsi="Times New Roman" w:cs="Times New Roman"/>
                <w:snapToGrid/>
                <w:color w:val="FF0000"/>
                <w:sz w:val="24"/>
                <w:lang w:val="fr-FR" w:eastAsia="fr-FR"/>
              </w:rPr>
              <w:t xml:space="preserve">Modernisation et pratique religieuse </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3.2.</w:t>
            </w:r>
          </w:p>
        </w:tc>
        <w:tc>
          <w:tcPr>
            <w:tcW w:w="8283" w:type="dxa"/>
            <w:shd w:val="clear" w:color="auto" w:fill="auto"/>
          </w:tcPr>
          <w:p w:rsidR="00C92ED6"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Menaces éventuelles sur la transmission de l’élément dans la (les) communauté(s) concernée(s)</w:t>
            </w:r>
          </w:p>
          <w:p w:rsidR="00791AD0" w:rsidRPr="00BC6D60" w:rsidRDefault="00791AD0" w:rsidP="00791AD0">
            <w:pPr>
              <w:spacing w:before="100" w:beforeAutospacing="1" w:after="100" w:afterAutospacing="1"/>
              <w:ind w:left="113"/>
              <w:jc w:val="left"/>
              <w:rPr>
                <w:rFonts w:ascii="Times New Roman" w:hAnsi="Times New Roman" w:cs="Times New Roman"/>
                <w:b/>
                <w:bCs/>
                <w:caps/>
                <w:kern w:val="28"/>
                <w:sz w:val="24"/>
                <w:lang w:val="fr-FR" w:eastAsia="fr-FR"/>
              </w:rPr>
            </w:pPr>
            <w:r>
              <w:rPr>
                <w:rFonts w:ascii="Times New Roman" w:hAnsi="Times New Roman" w:cs="Times New Roman"/>
                <w:snapToGrid/>
                <w:sz w:val="24"/>
                <w:lang w:val="fr-FR" w:eastAsia="fr-FR"/>
              </w:rPr>
              <w:t>Priorité donnée à l'opération chirurgicale qu'aux pratiques traditionnelles et rituelles</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3.3.</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Menaces pesant sur un accès durable aux éléments matériels et aux ressources (le cas échéant) associés à l’élément du PCI</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3.4.</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Viabilité des autres éléments du patrimoine immatériel (le cas échéant) associés à l’élément du PCI</w:t>
            </w:r>
          </w:p>
        </w:tc>
      </w:tr>
      <w:tr w:rsidR="00C92ED6" w:rsidRPr="003E2AEE" w:rsidTr="00971D6F">
        <w:tc>
          <w:tcPr>
            <w:tcW w:w="567" w:type="dxa"/>
            <w:tcBorders>
              <w:bottom w:val="single" w:sz="4" w:space="0" w:color="auto"/>
            </w:tcBorders>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3.5.</w:t>
            </w:r>
          </w:p>
        </w:tc>
        <w:tc>
          <w:tcPr>
            <w:tcW w:w="8283" w:type="dxa"/>
            <w:tcBorders>
              <w:bottom w:val="single" w:sz="4" w:space="0" w:color="auto"/>
            </w:tcBorders>
            <w:shd w:val="clear" w:color="auto" w:fill="auto"/>
          </w:tcPr>
          <w:p w:rsidR="00C92ED6" w:rsidRDefault="00C92ED6" w:rsidP="00C50236">
            <w:pPr>
              <w:spacing w:before="100" w:beforeAutospacing="1" w:after="100" w:afterAutospacing="1"/>
              <w:ind w:left="113" w:right="57"/>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Mesures de sauvegarde ou autres (le cas échéant) adoptées pour faire face à ces menaces et encourager la pratique et la transmission de l’élément du PCI à l’avenir</w:t>
            </w:r>
          </w:p>
          <w:p w:rsidR="00B841F8" w:rsidRPr="00B841F8" w:rsidRDefault="00B841F8" w:rsidP="00B841F8">
            <w:pPr>
              <w:pStyle w:val="Paragraphedeliste"/>
              <w:numPr>
                <w:ilvl w:val="0"/>
                <w:numId w:val="25"/>
              </w:numPr>
              <w:spacing w:before="100" w:beforeAutospacing="1" w:after="100" w:afterAutospacing="1"/>
              <w:ind w:right="57"/>
              <w:jc w:val="left"/>
              <w:rPr>
                <w:rFonts w:ascii="Times New Roman" w:hAnsi="Times New Roman" w:cs="Times New Roman"/>
                <w:b/>
                <w:bCs/>
                <w:caps/>
                <w:kern w:val="28"/>
                <w:sz w:val="24"/>
                <w:lang w:val="fr-FR" w:eastAsia="fr-FR"/>
              </w:rPr>
            </w:pPr>
            <w:r w:rsidRPr="00B841F8">
              <w:rPr>
                <w:rFonts w:ascii="Times New Roman" w:hAnsi="Times New Roman" w:cs="Times New Roman"/>
                <w:b/>
                <w:bCs/>
                <w:caps/>
                <w:color w:val="FF0000"/>
                <w:kern w:val="28"/>
                <w:sz w:val="24"/>
                <w:lang w:val="fr-FR" w:eastAsia="fr-FR"/>
              </w:rPr>
              <w:t>…..</w:t>
            </w:r>
          </w:p>
        </w:tc>
      </w:tr>
      <w:tr w:rsidR="00C92ED6" w:rsidRPr="003E2AEE" w:rsidTr="00971D6F">
        <w:tc>
          <w:tcPr>
            <w:tcW w:w="567" w:type="dxa"/>
            <w:shd w:val="clear" w:color="auto" w:fill="F2F2F2"/>
          </w:tcPr>
          <w:p w:rsidR="00C92ED6" w:rsidRPr="00C92ED6" w:rsidRDefault="00C92ED6" w:rsidP="00C50236">
            <w:pPr>
              <w:spacing w:before="100" w:beforeAutospacing="1" w:after="100" w:afterAutospacing="1"/>
              <w:jc w:val="right"/>
              <w:rPr>
                <w:b/>
                <w:sz w:val="18"/>
                <w:szCs w:val="18"/>
                <w:lang w:val="fr-FR" w:eastAsia="fr-FR"/>
              </w:rPr>
            </w:pPr>
            <w:r w:rsidRPr="00C92ED6">
              <w:rPr>
                <w:b/>
                <w:sz w:val="18"/>
                <w:szCs w:val="18"/>
                <w:lang w:val="fr-FR" w:eastAsia="fr-FR"/>
              </w:rPr>
              <w:t>4.</w:t>
            </w:r>
          </w:p>
        </w:tc>
        <w:tc>
          <w:tcPr>
            <w:tcW w:w="8283" w:type="dxa"/>
            <w:shd w:val="clear" w:color="auto" w:fill="F2F2F2"/>
          </w:tcPr>
          <w:p w:rsidR="00C92ED6" w:rsidRPr="00BC6D60" w:rsidRDefault="00F25AE7" w:rsidP="00C50236">
            <w:pPr>
              <w:spacing w:before="100" w:beforeAutospacing="1" w:after="100" w:afterAutospacing="1"/>
              <w:ind w:left="113"/>
              <w:jc w:val="left"/>
              <w:rPr>
                <w:rFonts w:ascii="Times New Roman" w:hAnsi="Times New Roman" w:cs="Times New Roman"/>
                <w:b/>
                <w:bCs/>
                <w:caps/>
                <w:sz w:val="24"/>
                <w:lang w:val="fr-FR" w:eastAsia="fr-FR"/>
              </w:rPr>
            </w:pPr>
            <w:r w:rsidRPr="00BC6D60">
              <w:rPr>
                <w:rFonts w:ascii="Times New Roman" w:hAnsi="Times New Roman" w:cs="Times New Roman"/>
                <w:b/>
                <w:bCs/>
                <w:caps/>
                <w:snapToGrid/>
                <w:sz w:val="24"/>
                <w:lang w:val="fr-FR" w:eastAsia="fr-FR"/>
              </w:rPr>
              <w:t>ACCES RESTREINT AUX DONNEES ET AUTORISATIONS</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4.1.</w:t>
            </w:r>
          </w:p>
        </w:tc>
        <w:tc>
          <w:tcPr>
            <w:tcW w:w="8283" w:type="dxa"/>
            <w:shd w:val="clear" w:color="auto" w:fill="auto"/>
          </w:tcPr>
          <w:p w:rsidR="00C92ED6"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Consentement et participation de la (des) communauté(s) concernée(s) au recueil des données</w:t>
            </w:r>
          </w:p>
          <w:p w:rsidR="00B841F8" w:rsidRPr="00B841F8" w:rsidRDefault="00B841F8" w:rsidP="00B841F8">
            <w:pPr>
              <w:pStyle w:val="Paragraphedeliste"/>
              <w:numPr>
                <w:ilvl w:val="0"/>
                <w:numId w:val="24"/>
              </w:numPr>
              <w:spacing w:before="100" w:beforeAutospacing="1" w:after="100" w:afterAutospacing="1"/>
              <w:jc w:val="left"/>
              <w:rPr>
                <w:rFonts w:ascii="Times New Roman" w:hAnsi="Times New Roman" w:cs="Times New Roman"/>
                <w:b/>
                <w:bCs/>
                <w:caps/>
                <w:kern w:val="28"/>
                <w:sz w:val="24"/>
                <w:lang w:val="fr-FR" w:eastAsia="fr-FR"/>
              </w:rPr>
            </w:pPr>
            <w:r w:rsidRPr="00B841F8">
              <w:rPr>
                <w:rFonts w:ascii="Times New Roman" w:hAnsi="Times New Roman" w:cs="Times New Roman"/>
                <w:b/>
                <w:bCs/>
                <w:caps/>
                <w:color w:val="FF0000"/>
                <w:kern w:val="28"/>
                <w:sz w:val="24"/>
                <w:lang w:val="fr-FR" w:eastAsia="fr-FR"/>
              </w:rPr>
              <w:t>….</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4.2.</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Restrictions et autorisations concernant les données</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4.3.</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 xml:space="preserve">Personne(s) ressource(s) : nom et statut </w:t>
            </w:r>
          </w:p>
          <w:p w:rsidR="00876106" w:rsidRPr="00BC6D60" w:rsidRDefault="00876106" w:rsidP="00C50236">
            <w:pPr>
              <w:spacing w:before="100" w:beforeAutospacing="1" w:after="100" w:afterAutospacing="1"/>
              <w:ind w:left="113"/>
              <w:jc w:val="left"/>
              <w:rPr>
                <w:rFonts w:ascii="Times New Roman" w:hAnsi="Times New Roman" w:cs="Times New Roman"/>
                <w:snapToGrid/>
                <w:sz w:val="24"/>
                <w:lang w:val="fr-FR" w:eastAsia="fr-FR"/>
              </w:rPr>
            </w:pPr>
            <w:proofErr w:type="spellStart"/>
            <w:r w:rsidRPr="00BC6D60">
              <w:rPr>
                <w:rFonts w:ascii="Times New Roman" w:hAnsi="Times New Roman" w:cs="Times New Roman"/>
                <w:snapToGrid/>
                <w:sz w:val="24"/>
                <w:lang w:val="fr-FR" w:eastAsia="fr-FR"/>
              </w:rPr>
              <w:t>Modou</w:t>
            </w:r>
            <w:proofErr w:type="spellEnd"/>
            <w:r w:rsidRPr="00BC6D60">
              <w:rPr>
                <w:rFonts w:ascii="Times New Roman" w:hAnsi="Times New Roman" w:cs="Times New Roman"/>
                <w:snapToGrid/>
                <w:sz w:val="24"/>
                <w:lang w:val="fr-FR" w:eastAsia="fr-FR"/>
              </w:rPr>
              <w:t xml:space="preserve"> Faye MBAYE </w:t>
            </w:r>
          </w:p>
          <w:p w:rsidR="00876106" w:rsidRPr="00BC6D60" w:rsidRDefault="007B789D" w:rsidP="00C50236">
            <w:pPr>
              <w:spacing w:before="100" w:beforeAutospacing="1" w:after="100" w:afterAutospacing="1"/>
              <w:ind w:left="113"/>
              <w:jc w:val="left"/>
              <w:rPr>
                <w:rFonts w:ascii="Times New Roman" w:hAnsi="Times New Roman" w:cs="Times New Roman"/>
                <w:b/>
                <w:bCs/>
                <w:caps/>
                <w:kern w:val="28"/>
                <w:sz w:val="24"/>
                <w:lang w:val="fr-FR" w:eastAsia="fr-FR"/>
              </w:rPr>
            </w:pPr>
            <w:r>
              <w:rPr>
                <w:rFonts w:ascii="Times New Roman" w:hAnsi="Times New Roman" w:cs="Times New Roman"/>
                <w:snapToGrid/>
                <w:sz w:val="24"/>
                <w:lang w:val="fr-FR" w:eastAsia="fr-FR"/>
              </w:rPr>
              <w:t>Tél :</w:t>
            </w:r>
            <w:r w:rsidR="00876106" w:rsidRPr="00BC6D60">
              <w:rPr>
                <w:rFonts w:ascii="Times New Roman" w:hAnsi="Times New Roman" w:cs="Times New Roman"/>
                <w:snapToGrid/>
                <w:sz w:val="24"/>
                <w:lang w:val="fr-FR" w:eastAsia="fr-FR"/>
              </w:rPr>
              <w:t xml:space="preserve"> 774363806</w:t>
            </w:r>
          </w:p>
        </w:tc>
      </w:tr>
      <w:tr w:rsidR="00C92ED6" w:rsidRPr="003E2AEE" w:rsidTr="00971D6F">
        <w:tc>
          <w:tcPr>
            <w:tcW w:w="567" w:type="dxa"/>
            <w:tcBorders>
              <w:bottom w:val="single" w:sz="4" w:space="0" w:color="auto"/>
            </w:tcBorders>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4.4.</w:t>
            </w:r>
          </w:p>
        </w:tc>
        <w:tc>
          <w:tcPr>
            <w:tcW w:w="8283" w:type="dxa"/>
            <w:tcBorders>
              <w:bottom w:val="single" w:sz="4" w:space="0" w:color="auto"/>
            </w:tcBorders>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Date(s) et lieu(x) de recueil des données</w:t>
            </w:r>
          </w:p>
        </w:tc>
      </w:tr>
      <w:tr w:rsidR="00C92ED6" w:rsidRPr="003E2AEE" w:rsidTr="00971D6F">
        <w:tc>
          <w:tcPr>
            <w:tcW w:w="567" w:type="dxa"/>
            <w:shd w:val="clear" w:color="auto" w:fill="F2F2F2"/>
          </w:tcPr>
          <w:p w:rsidR="00C92ED6" w:rsidRPr="00C92ED6" w:rsidRDefault="00C92ED6" w:rsidP="00C50236">
            <w:pPr>
              <w:spacing w:before="100" w:beforeAutospacing="1" w:after="100" w:afterAutospacing="1"/>
              <w:jc w:val="right"/>
              <w:rPr>
                <w:b/>
                <w:sz w:val="18"/>
                <w:szCs w:val="18"/>
                <w:lang w:val="fr-FR" w:eastAsia="fr-FR"/>
              </w:rPr>
            </w:pPr>
            <w:r w:rsidRPr="00C92ED6">
              <w:rPr>
                <w:b/>
                <w:sz w:val="18"/>
                <w:szCs w:val="18"/>
                <w:lang w:val="fr-FR" w:eastAsia="fr-FR"/>
              </w:rPr>
              <w:t>5.</w:t>
            </w:r>
          </w:p>
        </w:tc>
        <w:tc>
          <w:tcPr>
            <w:tcW w:w="8283" w:type="dxa"/>
            <w:shd w:val="clear" w:color="auto" w:fill="F2F2F2"/>
          </w:tcPr>
          <w:p w:rsidR="00C92ED6" w:rsidRPr="00BC6D60" w:rsidRDefault="00C92ED6" w:rsidP="00C50236">
            <w:pPr>
              <w:spacing w:before="100" w:beforeAutospacing="1" w:after="100" w:afterAutospacing="1"/>
              <w:ind w:left="113"/>
              <w:jc w:val="left"/>
              <w:rPr>
                <w:rFonts w:ascii="Times New Roman" w:hAnsi="Times New Roman" w:cs="Times New Roman"/>
                <w:b/>
                <w:bCs/>
                <w:caps/>
                <w:sz w:val="24"/>
                <w:lang w:val="fr-FR" w:eastAsia="fr-FR"/>
              </w:rPr>
            </w:pPr>
            <w:r w:rsidRPr="00BC6D60">
              <w:rPr>
                <w:rFonts w:ascii="Times New Roman" w:hAnsi="Times New Roman" w:cs="Times New Roman"/>
                <w:b/>
                <w:bCs/>
                <w:caps/>
                <w:snapToGrid/>
                <w:sz w:val="24"/>
                <w:lang w:val="fr-FR" w:eastAsia="fr-FR"/>
              </w:rPr>
              <w:t>Références relatives à l’élément du PCI (le cas échéant)</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5.1.</w:t>
            </w:r>
          </w:p>
        </w:tc>
        <w:tc>
          <w:tcPr>
            <w:tcW w:w="8283" w:type="dxa"/>
            <w:shd w:val="clear" w:color="auto" w:fill="auto"/>
          </w:tcPr>
          <w:p w:rsidR="00C92ED6" w:rsidRDefault="00172A30"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Monographies / Manuscrits</w:t>
            </w:r>
            <w:r w:rsidR="00A16589" w:rsidRPr="00BC6D60">
              <w:rPr>
                <w:rFonts w:ascii="Times New Roman" w:hAnsi="Times New Roman" w:cs="Times New Roman"/>
                <w:snapToGrid/>
                <w:sz w:val="24"/>
                <w:lang w:val="fr-FR" w:eastAsia="fr-FR"/>
              </w:rPr>
              <w:t xml:space="preserve"> conservés dans des bibliothèques, librairies ou détenus par des particuliers</w:t>
            </w:r>
          </w:p>
          <w:p w:rsidR="00791AD0" w:rsidRPr="00BC6D60" w:rsidRDefault="0099654F" w:rsidP="00C50236">
            <w:pPr>
              <w:spacing w:before="100" w:beforeAutospacing="1" w:after="100" w:afterAutospacing="1"/>
              <w:ind w:left="113"/>
              <w:jc w:val="left"/>
              <w:rPr>
                <w:rFonts w:ascii="Times New Roman" w:hAnsi="Times New Roman" w:cs="Times New Roman"/>
                <w:b/>
                <w:bCs/>
                <w:caps/>
                <w:kern w:val="28"/>
                <w:sz w:val="24"/>
                <w:lang w:val="fr-FR" w:eastAsia="fr-FR"/>
              </w:rPr>
            </w:pPr>
            <w:r>
              <w:rPr>
                <w:rFonts w:ascii="Times New Roman" w:hAnsi="Times New Roman" w:cs="Times New Roman"/>
                <w:snapToGrid/>
                <w:sz w:val="24"/>
                <w:lang w:val="fr-FR" w:eastAsia="fr-FR"/>
              </w:rPr>
              <w:t>Journal INFOS PENC et CATALOGUE DES MUSIQUES TRADITIONNELLES LEBU</w:t>
            </w:r>
          </w:p>
        </w:tc>
      </w:tr>
      <w:tr w:rsidR="00C92ED6" w:rsidRPr="003E2AEE" w:rsidTr="00C50236">
        <w:trPr>
          <w:trHeight w:val="841"/>
        </w:trPr>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lastRenderedPageBreak/>
              <w:t>5.2.</w:t>
            </w:r>
          </w:p>
        </w:tc>
        <w:tc>
          <w:tcPr>
            <w:tcW w:w="8283" w:type="dxa"/>
            <w:shd w:val="clear" w:color="auto" w:fill="auto"/>
          </w:tcPr>
          <w:p w:rsidR="00C92ED6" w:rsidRPr="00BC6D60" w:rsidRDefault="00A16589" w:rsidP="00C5023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Enregistrements</w:t>
            </w:r>
            <w:r w:rsidR="00C92ED6" w:rsidRPr="00BC6D60">
              <w:rPr>
                <w:rFonts w:ascii="Times New Roman" w:hAnsi="Times New Roman" w:cs="Times New Roman"/>
                <w:snapToGrid/>
                <w:sz w:val="24"/>
                <w:lang w:val="fr-FR" w:eastAsia="fr-FR"/>
              </w:rPr>
              <w:t xml:space="preserve"> audiovisuel</w:t>
            </w:r>
            <w:r w:rsidRPr="00BC6D60">
              <w:rPr>
                <w:rFonts w:ascii="Times New Roman" w:hAnsi="Times New Roman" w:cs="Times New Roman"/>
                <w:snapToGrid/>
                <w:sz w:val="24"/>
                <w:lang w:val="fr-FR" w:eastAsia="fr-FR"/>
              </w:rPr>
              <w:t>s</w:t>
            </w:r>
            <w:r w:rsidR="00C92ED6" w:rsidRPr="00BC6D60">
              <w:rPr>
                <w:rFonts w:ascii="Times New Roman" w:hAnsi="Times New Roman" w:cs="Times New Roman"/>
                <w:snapToGrid/>
                <w:sz w:val="24"/>
                <w:lang w:val="fr-FR" w:eastAsia="fr-FR"/>
              </w:rPr>
              <w:t xml:space="preserve"> conservés dans des archives, musées et collections privées (le cas échéant)</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5.3.</w:t>
            </w:r>
          </w:p>
        </w:tc>
        <w:tc>
          <w:tcPr>
            <w:tcW w:w="8283" w:type="dxa"/>
            <w:shd w:val="clear" w:color="auto" w:fill="auto"/>
          </w:tcPr>
          <w:p w:rsidR="00C92ED6" w:rsidRPr="00BC6D60" w:rsidRDefault="00A16589" w:rsidP="00C50236">
            <w:pPr>
              <w:spacing w:before="100" w:beforeAutospacing="1" w:after="100" w:afterAutospacing="1"/>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 xml:space="preserve"> O</w:t>
            </w:r>
            <w:r w:rsidR="00C92ED6" w:rsidRPr="00BC6D60">
              <w:rPr>
                <w:rFonts w:ascii="Times New Roman" w:hAnsi="Times New Roman" w:cs="Times New Roman"/>
                <w:snapToGrid/>
                <w:sz w:val="24"/>
                <w:lang w:val="fr-FR" w:eastAsia="fr-FR"/>
              </w:rPr>
              <w:t>bjets conservés dans des archives, musées et collections privées (le cas échéant)</w:t>
            </w:r>
          </w:p>
        </w:tc>
      </w:tr>
      <w:tr w:rsidR="00C92ED6" w:rsidRPr="00C92ED6" w:rsidTr="00971D6F">
        <w:tc>
          <w:tcPr>
            <w:tcW w:w="567" w:type="dxa"/>
            <w:shd w:val="clear" w:color="auto" w:fill="F2F2F2"/>
          </w:tcPr>
          <w:p w:rsidR="00C92ED6" w:rsidRPr="00C92ED6" w:rsidRDefault="00C92ED6" w:rsidP="00C50236">
            <w:pPr>
              <w:spacing w:before="100" w:beforeAutospacing="1" w:after="100" w:afterAutospacing="1"/>
              <w:jc w:val="right"/>
              <w:rPr>
                <w:b/>
                <w:sz w:val="18"/>
                <w:szCs w:val="18"/>
                <w:lang w:val="fr-FR" w:eastAsia="fr-FR"/>
              </w:rPr>
            </w:pPr>
            <w:r w:rsidRPr="00C92ED6">
              <w:rPr>
                <w:b/>
                <w:sz w:val="18"/>
                <w:szCs w:val="18"/>
                <w:lang w:val="fr-FR" w:eastAsia="fr-FR"/>
              </w:rPr>
              <w:t>6.</w:t>
            </w:r>
          </w:p>
        </w:tc>
        <w:tc>
          <w:tcPr>
            <w:tcW w:w="8283" w:type="dxa"/>
            <w:shd w:val="clear" w:color="auto" w:fill="F2F2F2"/>
          </w:tcPr>
          <w:p w:rsidR="00C92ED6" w:rsidRPr="00BC6D60" w:rsidRDefault="00C92ED6" w:rsidP="00C50236">
            <w:pPr>
              <w:spacing w:before="100" w:beforeAutospacing="1" w:after="100" w:afterAutospacing="1"/>
              <w:ind w:left="113"/>
              <w:jc w:val="left"/>
              <w:rPr>
                <w:rFonts w:ascii="Times New Roman" w:hAnsi="Times New Roman" w:cs="Times New Roman"/>
                <w:b/>
                <w:bCs/>
                <w:caps/>
                <w:sz w:val="24"/>
                <w:lang w:val="fr-FR" w:eastAsia="fr-FR"/>
              </w:rPr>
            </w:pPr>
            <w:r w:rsidRPr="00BC6D60">
              <w:rPr>
                <w:rFonts w:ascii="Times New Roman" w:hAnsi="Times New Roman" w:cs="Times New Roman"/>
                <w:b/>
                <w:bCs/>
                <w:caps/>
                <w:snapToGrid/>
                <w:sz w:val="24"/>
                <w:lang w:val="en-GB" w:eastAsia="fr-FR"/>
              </w:rPr>
              <w:t>Données d’inventaire</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6.1.</w:t>
            </w:r>
          </w:p>
        </w:tc>
        <w:tc>
          <w:tcPr>
            <w:tcW w:w="8283" w:type="dxa"/>
            <w:shd w:val="clear" w:color="auto" w:fill="auto"/>
          </w:tcPr>
          <w:p w:rsidR="00C92ED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 xml:space="preserve">Nom </w:t>
            </w:r>
            <w:r w:rsidR="00F355F4" w:rsidRPr="00BC6D60">
              <w:rPr>
                <w:rFonts w:ascii="Times New Roman" w:hAnsi="Times New Roman" w:cs="Times New Roman"/>
                <w:snapToGrid/>
                <w:sz w:val="24"/>
                <w:lang w:val="fr-FR" w:eastAsia="fr-FR"/>
              </w:rPr>
              <w:t xml:space="preserve">et contacts </w:t>
            </w:r>
            <w:r w:rsidRPr="00BC6D60">
              <w:rPr>
                <w:rFonts w:ascii="Times New Roman" w:hAnsi="Times New Roman" w:cs="Times New Roman"/>
                <w:snapToGrid/>
                <w:sz w:val="24"/>
                <w:lang w:val="fr-FR" w:eastAsia="fr-FR"/>
              </w:rPr>
              <w:t>de la pe</w:t>
            </w:r>
            <w:r w:rsidR="00172A30" w:rsidRPr="00BC6D60">
              <w:rPr>
                <w:rFonts w:ascii="Times New Roman" w:hAnsi="Times New Roman" w:cs="Times New Roman"/>
                <w:snapToGrid/>
                <w:sz w:val="24"/>
                <w:lang w:val="fr-FR" w:eastAsia="fr-FR"/>
              </w:rPr>
              <w:t>rsonne(s) ayant compilé les données</w:t>
            </w:r>
            <w:r w:rsidRPr="00BC6D60">
              <w:rPr>
                <w:rFonts w:ascii="Times New Roman" w:hAnsi="Times New Roman" w:cs="Times New Roman"/>
                <w:snapToGrid/>
                <w:sz w:val="24"/>
                <w:lang w:val="fr-FR" w:eastAsia="fr-FR"/>
              </w:rPr>
              <w:t xml:space="preserve"> de l’inventaire</w:t>
            </w:r>
          </w:p>
          <w:p w:rsidR="00876106" w:rsidRPr="00DC16D5" w:rsidRDefault="00876106" w:rsidP="00876106">
            <w:pPr>
              <w:spacing w:before="100" w:beforeAutospacing="1" w:after="100" w:afterAutospacing="1"/>
              <w:ind w:left="113"/>
              <w:jc w:val="left"/>
              <w:rPr>
                <w:rFonts w:ascii="Times New Roman" w:hAnsi="Times New Roman" w:cs="Times New Roman"/>
                <w:bCs/>
                <w:caps/>
                <w:color w:val="FF0000"/>
                <w:kern w:val="28"/>
                <w:sz w:val="24"/>
                <w:lang w:val="fr-FR" w:eastAsia="fr-FR"/>
              </w:rPr>
            </w:pPr>
            <w:r w:rsidRPr="00DC16D5">
              <w:rPr>
                <w:rFonts w:ascii="Times New Roman" w:hAnsi="Times New Roman" w:cs="Times New Roman"/>
                <w:bCs/>
                <w:caps/>
                <w:color w:val="FF0000"/>
                <w:kern w:val="28"/>
                <w:sz w:val="24"/>
                <w:lang w:val="fr-FR" w:eastAsia="fr-FR"/>
              </w:rPr>
              <w:t>Abdou Khadre GAYE </w:t>
            </w:r>
          </w:p>
          <w:p w:rsidR="00876106" w:rsidRPr="00BC6D60" w:rsidRDefault="00876106" w:rsidP="00876106">
            <w:pPr>
              <w:spacing w:before="100" w:beforeAutospacing="1" w:after="100" w:afterAutospacing="1"/>
              <w:ind w:left="113"/>
              <w:jc w:val="left"/>
              <w:rPr>
                <w:rFonts w:ascii="Times New Roman" w:hAnsi="Times New Roman" w:cs="Times New Roman"/>
                <w:b/>
                <w:bCs/>
                <w:caps/>
                <w:kern w:val="28"/>
                <w:sz w:val="24"/>
                <w:lang w:val="fr-FR" w:eastAsia="fr-FR"/>
              </w:rPr>
            </w:pPr>
            <w:r w:rsidRPr="00BC6D60">
              <w:rPr>
                <w:rFonts w:ascii="Times New Roman" w:hAnsi="Times New Roman" w:cs="Times New Roman"/>
                <w:bCs/>
                <w:caps/>
                <w:kern w:val="28"/>
                <w:sz w:val="24"/>
                <w:lang w:val="fr-FR" w:eastAsia="fr-FR"/>
              </w:rPr>
              <w:t>Tél</w:t>
            </w:r>
            <w:r w:rsidRPr="00BC6D60">
              <w:rPr>
                <w:rFonts w:ascii="Times New Roman" w:hAnsi="Times New Roman" w:cs="Times New Roman"/>
                <w:b/>
                <w:bCs/>
                <w:caps/>
                <w:kern w:val="28"/>
                <w:sz w:val="24"/>
                <w:lang w:val="fr-FR" w:eastAsia="fr-FR"/>
              </w:rPr>
              <w:t> : 77 655 96 04</w:t>
            </w:r>
            <w:bookmarkStart w:id="0" w:name="_GoBack"/>
            <w:bookmarkEnd w:id="0"/>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sz w:val="18"/>
                <w:szCs w:val="18"/>
                <w:lang w:val="fr-FR" w:eastAsia="fr-FR"/>
              </w:rPr>
            </w:pPr>
            <w:r w:rsidRPr="00C92ED6">
              <w:rPr>
                <w:sz w:val="18"/>
                <w:szCs w:val="18"/>
                <w:lang w:val="fr-FR" w:eastAsia="fr-FR"/>
              </w:rPr>
              <w:t>6.2.</w:t>
            </w:r>
          </w:p>
        </w:tc>
        <w:tc>
          <w:tcPr>
            <w:tcW w:w="8283" w:type="dxa"/>
            <w:shd w:val="clear" w:color="auto" w:fill="auto"/>
          </w:tcPr>
          <w:p w:rsidR="00C92ED6" w:rsidRPr="00BC6D60" w:rsidRDefault="00C92ED6" w:rsidP="00C50236">
            <w:pPr>
              <w:spacing w:before="100" w:beforeAutospacing="1" w:after="100" w:afterAutospacing="1"/>
              <w:ind w:left="113" w:right="57"/>
              <w:jc w:val="left"/>
              <w:rPr>
                <w:rFonts w:ascii="Times New Roman" w:hAnsi="Times New Roman" w:cs="Times New Roman"/>
                <w:b/>
                <w:bCs/>
                <w:caps/>
                <w:kern w:val="28"/>
                <w:sz w:val="24"/>
                <w:lang w:val="fr-FR" w:eastAsia="fr-FR"/>
              </w:rPr>
            </w:pPr>
            <w:r w:rsidRPr="00BC6D60">
              <w:rPr>
                <w:rFonts w:ascii="Times New Roman" w:hAnsi="Times New Roman" w:cs="Times New Roman"/>
                <w:snapToGrid/>
                <w:sz w:val="24"/>
                <w:lang w:val="fr-FR" w:eastAsia="fr-FR"/>
              </w:rPr>
              <w:t>Preuve du consentement de la (des) communauté(s) concernée(s) : (a) pour l’inventaire de l’élément et (b) pour l’information à inclure dans l’inventaire</w:t>
            </w:r>
          </w:p>
        </w:tc>
      </w:tr>
      <w:tr w:rsidR="00C92ED6" w:rsidRPr="003E2AEE" w:rsidTr="00971D6F">
        <w:tc>
          <w:tcPr>
            <w:tcW w:w="567" w:type="dxa"/>
            <w:shd w:val="clear" w:color="auto" w:fill="auto"/>
          </w:tcPr>
          <w:p w:rsidR="00C92ED6" w:rsidRPr="00C92ED6" w:rsidRDefault="00C92ED6" w:rsidP="00C50236">
            <w:pPr>
              <w:spacing w:before="100" w:beforeAutospacing="1" w:after="100" w:afterAutospacing="1"/>
              <w:jc w:val="right"/>
              <w:rPr>
                <w:b/>
                <w:bCs/>
                <w:caps/>
                <w:kern w:val="28"/>
                <w:sz w:val="18"/>
                <w:szCs w:val="18"/>
                <w:lang w:val="fr-FR" w:eastAsia="fr-FR"/>
              </w:rPr>
            </w:pPr>
            <w:r w:rsidRPr="00C92ED6">
              <w:rPr>
                <w:sz w:val="18"/>
                <w:szCs w:val="18"/>
                <w:lang w:val="fr-FR" w:eastAsia="fr-FR"/>
              </w:rPr>
              <w:t>6.3.</w:t>
            </w:r>
          </w:p>
        </w:tc>
        <w:tc>
          <w:tcPr>
            <w:tcW w:w="8283" w:type="dxa"/>
            <w:shd w:val="clear" w:color="auto" w:fill="auto"/>
          </w:tcPr>
          <w:p w:rsidR="00876106" w:rsidRPr="00BC6D60" w:rsidRDefault="00C92ED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Date d’enregistrement des données à l’inventaire</w:t>
            </w:r>
          </w:p>
          <w:p w:rsidR="00876106" w:rsidRPr="00BC6D60" w:rsidRDefault="00876106" w:rsidP="00C50236">
            <w:pPr>
              <w:spacing w:before="100" w:beforeAutospacing="1" w:after="100" w:afterAutospacing="1"/>
              <w:ind w:left="113"/>
              <w:jc w:val="left"/>
              <w:rPr>
                <w:rFonts w:ascii="Times New Roman" w:hAnsi="Times New Roman" w:cs="Times New Roman"/>
                <w:snapToGrid/>
                <w:sz w:val="24"/>
                <w:lang w:val="fr-FR" w:eastAsia="fr-FR"/>
              </w:rPr>
            </w:pPr>
            <w:r w:rsidRPr="00BC6D60">
              <w:rPr>
                <w:rFonts w:ascii="Times New Roman" w:hAnsi="Times New Roman" w:cs="Times New Roman"/>
                <w:snapToGrid/>
                <w:sz w:val="24"/>
                <w:lang w:val="fr-FR" w:eastAsia="fr-FR"/>
              </w:rPr>
              <w:t>4 mai 2019</w:t>
            </w:r>
          </w:p>
          <w:p w:rsidR="00876106" w:rsidRPr="00BC6D60" w:rsidRDefault="00876106" w:rsidP="00C50236">
            <w:pPr>
              <w:spacing w:before="100" w:beforeAutospacing="1" w:after="100" w:afterAutospacing="1"/>
              <w:ind w:left="113"/>
              <w:jc w:val="left"/>
              <w:rPr>
                <w:rFonts w:ascii="Times New Roman" w:hAnsi="Times New Roman" w:cs="Times New Roman"/>
                <w:b/>
                <w:bCs/>
                <w:caps/>
                <w:kern w:val="28"/>
                <w:sz w:val="24"/>
                <w:lang w:val="fr-FR" w:eastAsia="fr-FR"/>
              </w:rPr>
            </w:pPr>
          </w:p>
        </w:tc>
      </w:tr>
    </w:tbl>
    <w:p w:rsidR="0043665E" w:rsidRPr="00A31579" w:rsidRDefault="0043665E" w:rsidP="00F631BE">
      <w:pPr>
        <w:pStyle w:val="Texte1"/>
      </w:pPr>
    </w:p>
    <w:sectPr w:rsidR="0043665E" w:rsidRPr="00A31579" w:rsidSect="008631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50" w:rsidRDefault="00931A50" w:rsidP="0043665E">
      <w:pPr>
        <w:spacing w:before="0" w:after="0"/>
      </w:pPr>
      <w:r>
        <w:separator/>
      </w:r>
    </w:p>
  </w:endnote>
  <w:endnote w:type="continuationSeparator" w:id="0">
    <w:p w:rsidR="00931A50" w:rsidRDefault="00931A50" w:rsidP="004366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E948A2" w:rsidRDefault="00E948A2" w:rsidP="009B4E97">
    <w:pPr>
      <w:widowControl w:val="0"/>
      <w:tabs>
        <w:tab w:val="clear" w:pos="567"/>
        <w:tab w:val="left" w:pos="2600"/>
        <w:tab w:val="center" w:pos="4423"/>
        <w:tab w:val="right" w:pos="8845"/>
      </w:tabs>
      <w:spacing w:before="0" w:after="0" w:line="280" w:lineRule="exact"/>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r w:rsidRPr="00E948A2">
      <w:rPr>
        <w:sz w:val="16"/>
        <w:szCs w:val="18"/>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50" w:rsidRDefault="00931A50" w:rsidP="0043665E">
      <w:pPr>
        <w:spacing w:before="0" w:after="0"/>
      </w:pPr>
      <w:r>
        <w:separator/>
      </w:r>
    </w:p>
  </w:footnote>
  <w:footnote w:type="continuationSeparator" w:id="0">
    <w:p w:rsidR="00931A50" w:rsidRDefault="00931A50" w:rsidP="004366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FA33DF"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FA33DF" w:rsidRPr="0086313E">
      <w:rPr>
        <w:rFonts w:eastAsia="Calibri" w:cs="Times New Roman"/>
        <w:snapToGrid/>
        <w:sz w:val="16"/>
        <w:szCs w:val="22"/>
        <w:lang w:val="it-IT" w:eastAsia="en-US"/>
      </w:rPr>
      <w:fldChar w:fldCharType="separate"/>
    </w:r>
    <w:r w:rsidR="00DC16D5">
      <w:rPr>
        <w:rFonts w:eastAsia="Calibri" w:cs="Times New Roman"/>
        <w:noProof/>
        <w:snapToGrid/>
        <w:sz w:val="16"/>
        <w:szCs w:val="22"/>
        <w:lang w:val="it-IT" w:eastAsia="en-US"/>
      </w:rPr>
      <w:t>2</w:t>
    </w:r>
    <w:r w:rsidR="00FA33DF" w:rsidRPr="0086313E">
      <w:rPr>
        <w:rFonts w:eastAsia="Calibri" w:cs="Times New Roman"/>
        <w:snapToGrid/>
        <w:sz w:val="16"/>
        <w:szCs w:val="22"/>
        <w:lang w:val="it-IT"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FA33DF"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FA33DF" w:rsidRPr="0086313E">
      <w:rPr>
        <w:rFonts w:eastAsia="Calibri" w:cs="Times New Roman"/>
        <w:snapToGrid/>
        <w:sz w:val="16"/>
        <w:szCs w:val="22"/>
        <w:lang w:val="it-IT" w:eastAsia="en-US"/>
      </w:rPr>
      <w:fldChar w:fldCharType="separate"/>
    </w:r>
    <w:r w:rsidR="00DC16D5">
      <w:rPr>
        <w:rFonts w:eastAsia="Calibri" w:cs="Times New Roman"/>
        <w:noProof/>
        <w:snapToGrid/>
        <w:sz w:val="16"/>
        <w:szCs w:val="22"/>
        <w:lang w:val="it-IT" w:eastAsia="en-US"/>
      </w:rPr>
      <w:t>3</w:t>
    </w:r>
    <w:r w:rsidR="00FA33DF" w:rsidRPr="0086313E">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5732C3" w:rsidRDefault="0086313E" w:rsidP="005732C3">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0E0638C"/>
    <w:lvl w:ilvl="0">
      <w:start w:val="1"/>
      <w:numFmt w:val="decimal"/>
      <w:pStyle w:val="Listenumros"/>
      <w:lvlText w:val="%1."/>
      <w:lvlJc w:val="left"/>
      <w:pPr>
        <w:tabs>
          <w:tab w:val="num" w:pos="360"/>
        </w:tabs>
        <w:ind w:left="360" w:hanging="360"/>
      </w:pPr>
    </w:lvl>
  </w:abstractNum>
  <w:abstractNum w:abstractNumId="1" w15:restartNumberingAfterBreak="0">
    <w:nsid w:val="011C4C3C"/>
    <w:multiLevelType w:val="hybridMultilevel"/>
    <w:tmpl w:val="F54020B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056524A2"/>
    <w:multiLevelType w:val="hybridMultilevel"/>
    <w:tmpl w:val="1BA4C38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 w15:restartNumberingAfterBreak="0">
    <w:nsid w:val="058B5871"/>
    <w:multiLevelType w:val="hybridMultilevel"/>
    <w:tmpl w:val="5620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3F83"/>
    <w:multiLevelType w:val="hybridMultilevel"/>
    <w:tmpl w:val="8A92A38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 w15:restartNumberingAfterBreak="0">
    <w:nsid w:val="0C3576DF"/>
    <w:multiLevelType w:val="hybridMultilevel"/>
    <w:tmpl w:val="1CEABD70"/>
    <w:lvl w:ilvl="0" w:tplc="A2CE6A36">
      <w:start w:val="1"/>
      <w:numFmt w:val="bullet"/>
      <w:lvlText w:val="‒"/>
      <w:lvlJc w:val="left"/>
      <w:pPr>
        <w:ind w:left="927" w:hanging="360"/>
      </w:pPr>
      <w:rPr>
        <w:rFonts w:ascii="Arial" w:hAnsi="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 w15:restartNumberingAfterBreak="0">
    <w:nsid w:val="0F171B30"/>
    <w:multiLevelType w:val="hybridMultilevel"/>
    <w:tmpl w:val="F08EFA58"/>
    <w:lvl w:ilvl="0" w:tplc="A9F0EAFA">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454AD5"/>
    <w:multiLevelType w:val="hybridMultilevel"/>
    <w:tmpl w:val="337E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C11D3"/>
    <w:multiLevelType w:val="hybridMultilevel"/>
    <w:tmpl w:val="1F183E94"/>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9" w15:restartNumberingAfterBreak="0">
    <w:nsid w:val="17746595"/>
    <w:multiLevelType w:val="hybridMultilevel"/>
    <w:tmpl w:val="94DADED8"/>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FAE1EC6"/>
    <w:multiLevelType w:val="hybridMultilevel"/>
    <w:tmpl w:val="B61264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335CFA"/>
    <w:multiLevelType w:val="multilevel"/>
    <w:tmpl w:val="F08EF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B2676"/>
    <w:multiLevelType w:val="hybridMultilevel"/>
    <w:tmpl w:val="7E96B2C6"/>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47D6E"/>
    <w:multiLevelType w:val="hybridMultilevel"/>
    <w:tmpl w:val="5CDE06C6"/>
    <w:lvl w:ilvl="0" w:tplc="A2CE6A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4A4863"/>
    <w:multiLevelType w:val="hybridMultilevel"/>
    <w:tmpl w:val="73E4834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C6C4481"/>
    <w:multiLevelType w:val="hybridMultilevel"/>
    <w:tmpl w:val="85E07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E3202"/>
    <w:multiLevelType w:val="hybridMultilevel"/>
    <w:tmpl w:val="5790C6C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7" w15:restartNumberingAfterBreak="0">
    <w:nsid w:val="4EEB5C52"/>
    <w:multiLevelType w:val="hybridMultilevel"/>
    <w:tmpl w:val="3902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2661CB"/>
    <w:multiLevelType w:val="hybridMultilevel"/>
    <w:tmpl w:val="D786D8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0FF6FFF"/>
    <w:multiLevelType w:val="hybridMultilevel"/>
    <w:tmpl w:val="B3F65CB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698F5BB6"/>
    <w:multiLevelType w:val="hybridMultilevel"/>
    <w:tmpl w:val="1E92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2A648E"/>
    <w:multiLevelType w:val="hybridMultilevel"/>
    <w:tmpl w:val="F1C49D42"/>
    <w:lvl w:ilvl="0" w:tplc="A2CE6A36">
      <w:start w:val="1"/>
      <w:numFmt w:val="bullet"/>
      <w:lvlText w:val="‒"/>
      <w:lvlJc w:val="left"/>
      <w:pPr>
        <w:ind w:left="1445" w:hanging="360"/>
      </w:pPr>
      <w:rPr>
        <w:rFonts w:ascii="Arial" w:hAnsi="Aria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22" w15:restartNumberingAfterBreak="0">
    <w:nsid w:val="6C9C7E9B"/>
    <w:multiLevelType w:val="hybridMultilevel"/>
    <w:tmpl w:val="AD5E7E1C"/>
    <w:lvl w:ilvl="0" w:tplc="95A6A61A">
      <w:start w:val="1"/>
      <w:numFmt w:val="bull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FF3E18"/>
    <w:multiLevelType w:val="hybridMultilevel"/>
    <w:tmpl w:val="C17A0E6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6"/>
  </w:num>
  <w:num w:numId="4">
    <w:abstractNumId w:val="14"/>
  </w:num>
  <w:num w:numId="5">
    <w:abstractNumId w:val="3"/>
  </w:num>
  <w:num w:numId="6">
    <w:abstractNumId w:val="7"/>
  </w:num>
  <w:num w:numId="7">
    <w:abstractNumId w:val="20"/>
  </w:num>
  <w:num w:numId="8">
    <w:abstractNumId w:val="15"/>
  </w:num>
  <w:num w:numId="9">
    <w:abstractNumId w:val="17"/>
  </w:num>
  <w:num w:numId="10">
    <w:abstractNumId w:val="6"/>
  </w:num>
  <w:num w:numId="11">
    <w:abstractNumId w:val="12"/>
  </w:num>
  <w:num w:numId="12">
    <w:abstractNumId w:val="6"/>
    <w:lvlOverride w:ilvl="0">
      <w:startOverride w:val="1"/>
    </w:lvlOverride>
  </w:num>
  <w:num w:numId="13">
    <w:abstractNumId w:val="11"/>
  </w:num>
  <w:num w:numId="14">
    <w:abstractNumId w:val="10"/>
  </w:num>
  <w:num w:numId="15">
    <w:abstractNumId w:val="1"/>
  </w:num>
  <w:num w:numId="16">
    <w:abstractNumId w:val="13"/>
  </w:num>
  <w:num w:numId="17">
    <w:abstractNumId w:val="21"/>
  </w:num>
  <w:num w:numId="18">
    <w:abstractNumId w:val="23"/>
  </w:num>
  <w:num w:numId="19">
    <w:abstractNumId w:val="9"/>
  </w:num>
  <w:num w:numId="20">
    <w:abstractNumId w:val="18"/>
  </w:num>
  <w:num w:numId="21">
    <w:abstractNumId w:val="19"/>
  </w:num>
  <w:num w:numId="22">
    <w:abstractNumId w:val="5"/>
  </w:num>
  <w:num w:numId="23">
    <w:abstractNumId w:val="22"/>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5E"/>
    <w:rsid w:val="000271C6"/>
    <w:rsid w:val="0008506B"/>
    <w:rsid w:val="000A0248"/>
    <w:rsid w:val="00142E12"/>
    <w:rsid w:val="00167647"/>
    <w:rsid w:val="00172A30"/>
    <w:rsid w:val="00182DE5"/>
    <w:rsid w:val="00184690"/>
    <w:rsid w:val="00184714"/>
    <w:rsid w:val="001F6DD7"/>
    <w:rsid w:val="00227EE4"/>
    <w:rsid w:val="0026188F"/>
    <w:rsid w:val="00284583"/>
    <w:rsid w:val="0029217F"/>
    <w:rsid w:val="002A6185"/>
    <w:rsid w:val="002E4EF0"/>
    <w:rsid w:val="00302AEB"/>
    <w:rsid w:val="00316CED"/>
    <w:rsid w:val="003342CA"/>
    <w:rsid w:val="00342E35"/>
    <w:rsid w:val="003E2AEE"/>
    <w:rsid w:val="0043665E"/>
    <w:rsid w:val="00483CE2"/>
    <w:rsid w:val="00490480"/>
    <w:rsid w:val="004F58B4"/>
    <w:rsid w:val="004F7C6C"/>
    <w:rsid w:val="00503AC9"/>
    <w:rsid w:val="00526BDD"/>
    <w:rsid w:val="005370B5"/>
    <w:rsid w:val="00545E58"/>
    <w:rsid w:val="005732C3"/>
    <w:rsid w:val="005D395D"/>
    <w:rsid w:val="0060566B"/>
    <w:rsid w:val="00660044"/>
    <w:rsid w:val="00670B71"/>
    <w:rsid w:val="006942BD"/>
    <w:rsid w:val="006A640F"/>
    <w:rsid w:val="006B7348"/>
    <w:rsid w:val="006D5C84"/>
    <w:rsid w:val="007254B2"/>
    <w:rsid w:val="00734661"/>
    <w:rsid w:val="00782E2F"/>
    <w:rsid w:val="00791AD0"/>
    <w:rsid w:val="007B789D"/>
    <w:rsid w:val="007D3D1C"/>
    <w:rsid w:val="007D66AD"/>
    <w:rsid w:val="0086313E"/>
    <w:rsid w:val="00876106"/>
    <w:rsid w:val="00880E45"/>
    <w:rsid w:val="0089248C"/>
    <w:rsid w:val="008B594E"/>
    <w:rsid w:val="008D718D"/>
    <w:rsid w:val="00904171"/>
    <w:rsid w:val="009232D5"/>
    <w:rsid w:val="00931A50"/>
    <w:rsid w:val="00971BD3"/>
    <w:rsid w:val="00972F71"/>
    <w:rsid w:val="0099595A"/>
    <w:rsid w:val="0099654F"/>
    <w:rsid w:val="009A3071"/>
    <w:rsid w:val="009B4873"/>
    <w:rsid w:val="009B4E97"/>
    <w:rsid w:val="009F5338"/>
    <w:rsid w:val="00A06BCB"/>
    <w:rsid w:val="00A16589"/>
    <w:rsid w:val="00A510A1"/>
    <w:rsid w:val="00A57FDF"/>
    <w:rsid w:val="00AA344D"/>
    <w:rsid w:val="00AD6C47"/>
    <w:rsid w:val="00B44F26"/>
    <w:rsid w:val="00B45F43"/>
    <w:rsid w:val="00B841F8"/>
    <w:rsid w:val="00BC6D60"/>
    <w:rsid w:val="00BC79D7"/>
    <w:rsid w:val="00BD7906"/>
    <w:rsid w:val="00C13746"/>
    <w:rsid w:val="00C17481"/>
    <w:rsid w:val="00C203FD"/>
    <w:rsid w:val="00C20EBB"/>
    <w:rsid w:val="00C50236"/>
    <w:rsid w:val="00C9124F"/>
    <w:rsid w:val="00C92ED6"/>
    <w:rsid w:val="00CC3282"/>
    <w:rsid w:val="00CF0F07"/>
    <w:rsid w:val="00CF54CB"/>
    <w:rsid w:val="00D11FA6"/>
    <w:rsid w:val="00DC16D5"/>
    <w:rsid w:val="00DF4568"/>
    <w:rsid w:val="00E717DB"/>
    <w:rsid w:val="00E85333"/>
    <w:rsid w:val="00E948A2"/>
    <w:rsid w:val="00EA348C"/>
    <w:rsid w:val="00EE38CE"/>
    <w:rsid w:val="00EE7829"/>
    <w:rsid w:val="00F13353"/>
    <w:rsid w:val="00F167A5"/>
    <w:rsid w:val="00F25AE7"/>
    <w:rsid w:val="00F355F4"/>
    <w:rsid w:val="00F631BE"/>
    <w:rsid w:val="00F64F30"/>
    <w:rsid w:val="00FA33DF"/>
    <w:rsid w:val="00FD68C2"/>
    <w:rsid w:val="00FE28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0DC4779-AE5A-4634-B1B9-B780A083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A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1">
    <w:name w:val="heading 1"/>
    <w:basedOn w:val="Normal"/>
    <w:next w:val="Normal"/>
    <w:link w:val="Titre1Car"/>
    <w:uiPriority w:val="9"/>
    <w:qFormat/>
    <w:rsid w:val="0043665E"/>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Titre2">
    <w:name w:val="heading 2"/>
    <w:basedOn w:val="Normal"/>
    <w:next w:val="Normal"/>
    <w:link w:val="Titre2Car"/>
    <w:uiPriority w:val="9"/>
    <w:unhideWhenUsed/>
    <w:qFormat/>
    <w:rsid w:val="0043665E"/>
    <w:pPr>
      <w:keepNext/>
      <w:keepLines/>
      <w:spacing w:before="200" w:after="0"/>
      <w:outlineLvl w:val="1"/>
    </w:pPr>
    <w:rPr>
      <w:rFonts w:eastAsiaTheme="majorEastAsia" w:cstheme="majorBidi"/>
      <w:b/>
      <w:bCs/>
      <w:color w:val="000000" w:themeColor="text1"/>
      <w:szCs w:val="26"/>
    </w:rPr>
  </w:style>
  <w:style w:type="paragraph" w:styleId="Titre3">
    <w:name w:val="heading 3"/>
    <w:basedOn w:val="Normal"/>
    <w:next w:val="Normal"/>
    <w:link w:val="Titre3Car"/>
    <w:uiPriority w:val="9"/>
    <w:unhideWhenUsed/>
    <w:qFormat/>
    <w:rsid w:val="0043665E"/>
    <w:pPr>
      <w:keepNext/>
      <w:keepLines/>
      <w:spacing w:before="200" w:after="0"/>
      <w:outlineLvl w:val="2"/>
    </w:pPr>
    <w:rPr>
      <w:rFonts w:eastAsia="Times New Roman" w:cs="Times New Roman"/>
      <w:bCs/>
      <w:i/>
      <w:color w:val="000000" w:themeColor="text1"/>
    </w:rPr>
  </w:style>
  <w:style w:type="paragraph" w:styleId="Titre4">
    <w:name w:val="heading 4"/>
    <w:basedOn w:val="Normal"/>
    <w:next w:val="Normal"/>
    <w:link w:val="Titre4Car"/>
    <w:uiPriority w:val="9"/>
    <w:unhideWhenUsed/>
    <w:rsid w:val="00EA348C"/>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65E"/>
    <w:rPr>
      <w:rFonts w:ascii="Arial" w:eastAsia="Times New Roman" w:hAnsi="Arial" w:cs="Arial"/>
      <w:bCs/>
      <w:snapToGrid w:val="0"/>
      <w:kern w:val="28"/>
      <w:sz w:val="52"/>
      <w:szCs w:val="52"/>
      <w:lang w:val="en-GB" w:eastAsia="zh-CN"/>
    </w:rPr>
  </w:style>
  <w:style w:type="character" w:customStyle="1" w:styleId="Titre2Car">
    <w:name w:val="Titre 2 Car"/>
    <w:basedOn w:val="Policepardfaut"/>
    <w:link w:val="Titre2"/>
    <w:uiPriority w:val="9"/>
    <w:rsid w:val="0043665E"/>
    <w:rPr>
      <w:rFonts w:ascii="Arial" w:eastAsiaTheme="majorEastAsia" w:hAnsi="Arial" w:cstheme="majorBidi"/>
      <w:b/>
      <w:bCs/>
      <w:snapToGrid w:val="0"/>
      <w:color w:val="000000" w:themeColor="text1"/>
      <w:szCs w:val="26"/>
      <w:lang w:val="en-US" w:eastAsia="zh-CN"/>
    </w:rPr>
  </w:style>
  <w:style w:type="character" w:customStyle="1" w:styleId="Titre3Car">
    <w:name w:val="Titre 3 Car"/>
    <w:basedOn w:val="Policepardfaut"/>
    <w:link w:val="Titre3"/>
    <w:uiPriority w:val="9"/>
    <w:rsid w:val="0043665E"/>
    <w:rPr>
      <w:rFonts w:ascii="Arial" w:eastAsia="Times New Roman" w:hAnsi="Arial" w:cs="Times New Roman"/>
      <w:bCs/>
      <w:i/>
      <w:snapToGrid w:val="0"/>
      <w:color w:val="000000" w:themeColor="text1"/>
      <w:szCs w:val="24"/>
      <w:lang w:val="en-US" w:eastAsia="zh-CN"/>
    </w:rPr>
  </w:style>
  <w:style w:type="character" w:customStyle="1" w:styleId="Titre4Car">
    <w:name w:val="Titre 4 Car"/>
    <w:basedOn w:val="Policepardfaut"/>
    <w:link w:val="Titre4"/>
    <w:uiPriority w:val="9"/>
    <w:rsid w:val="00EA348C"/>
    <w:rPr>
      <w:rFonts w:ascii="Arial" w:eastAsiaTheme="majorEastAsia" w:hAnsi="Arial" w:cstheme="majorBidi"/>
      <w:b/>
      <w:caps/>
      <w:sz w:val="20"/>
    </w:rPr>
  </w:style>
  <w:style w:type="paragraph" w:styleId="En-tte">
    <w:name w:val="header"/>
    <w:basedOn w:val="Normal"/>
    <w:link w:val="En-tteCar"/>
    <w:uiPriority w:val="99"/>
    <w:rsid w:val="0043665E"/>
    <w:pPr>
      <w:tabs>
        <w:tab w:val="center" w:pos="4153"/>
        <w:tab w:val="right" w:pos="8306"/>
      </w:tabs>
    </w:pPr>
    <w:rPr>
      <w:rFonts w:eastAsia="Times New Roman"/>
    </w:rPr>
  </w:style>
  <w:style w:type="character" w:customStyle="1" w:styleId="En-tteCar">
    <w:name w:val="En-tête Car"/>
    <w:basedOn w:val="Policepardfaut"/>
    <w:link w:val="En-tte"/>
    <w:uiPriority w:val="99"/>
    <w:rsid w:val="0043665E"/>
    <w:rPr>
      <w:rFonts w:ascii="Arial" w:eastAsia="Times New Roman" w:hAnsi="Arial" w:cs="Arial"/>
      <w:snapToGrid w:val="0"/>
      <w:szCs w:val="24"/>
      <w:lang w:val="en-US" w:eastAsia="zh-CN"/>
    </w:rPr>
  </w:style>
  <w:style w:type="paragraph" w:styleId="Paragraphedeliste">
    <w:name w:val="List Paragraph"/>
    <w:basedOn w:val="Normal"/>
    <w:uiPriority w:val="34"/>
    <w:qFormat/>
    <w:rsid w:val="0043665E"/>
    <w:pPr>
      <w:ind w:left="720"/>
    </w:pPr>
  </w:style>
  <w:style w:type="character" w:styleId="Lienhypertexte">
    <w:name w:val="Hyperlink"/>
    <w:basedOn w:val="Policepardfaut"/>
    <w:uiPriority w:val="99"/>
    <w:unhideWhenUsed/>
    <w:rsid w:val="0043665E"/>
    <w:rPr>
      <w:color w:val="0000FF"/>
      <w:u w:val="single"/>
    </w:rPr>
  </w:style>
  <w:style w:type="paragraph" w:styleId="Listenumros">
    <w:name w:val="List Number"/>
    <w:basedOn w:val="Normal"/>
    <w:rsid w:val="0043665E"/>
    <w:pPr>
      <w:numPr>
        <w:numId w:val="1"/>
      </w:numPr>
      <w:tabs>
        <w:tab w:val="clear" w:pos="567"/>
      </w:tabs>
      <w:snapToGrid/>
      <w:spacing w:before="0" w:after="0"/>
    </w:pPr>
    <w:rPr>
      <w:rFonts w:eastAsia="Times New Roman" w:cs="Times New Roman"/>
      <w:snapToGrid/>
      <w:szCs w:val="22"/>
      <w:lang w:val="en-GB" w:eastAsia="en-US"/>
    </w:rPr>
  </w:style>
  <w:style w:type="paragraph" w:styleId="Corpsdetexte">
    <w:name w:val="Body Text"/>
    <w:basedOn w:val="Normal"/>
    <w:link w:val="CorpsdetexteCar"/>
    <w:unhideWhenUsed/>
    <w:rsid w:val="0043665E"/>
    <w:pPr>
      <w:tabs>
        <w:tab w:val="clear" w:pos="567"/>
      </w:tabs>
      <w:snapToGrid/>
      <w:spacing w:before="0"/>
    </w:pPr>
    <w:rPr>
      <w:rFonts w:eastAsia="Times New Roman" w:cs="Times New Roman"/>
      <w:snapToGrid/>
      <w:lang w:val="en-GB" w:eastAsia="en-US"/>
    </w:rPr>
  </w:style>
  <w:style w:type="character" w:customStyle="1" w:styleId="CorpsdetexteCar">
    <w:name w:val="Corps de texte Car"/>
    <w:basedOn w:val="Policepardfaut"/>
    <w:link w:val="Corpsdetexte"/>
    <w:rsid w:val="0043665E"/>
    <w:rPr>
      <w:rFonts w:ascii="Arial" w:eastAsia="Times New Roman" w:hAnsi="Arial" w:cs="Times New Roman"/>
      <w:szCs w:val="24"/>
      <w:lang w:val="en-GB"/>
    </w:rPr>
  </w:style>
  <w:style w:type="character" w:customStyle="1" w:styleId="style7">
    <w:name w:val="style7"/>
    <w:basedOn w:val="Policepardfaut"/>
    <w:rsid w:val="0043665E"/>
  </w:style>
  <w:style w:type="character" w:styleId="Appelnotedebasdep">
    <w:name w:val="footnote reference"/>
    <w:basedOn w:val="Policepardfaut"/>
    <w:semiHidden/>
    <w:rsid w:val="0043665E"/>
    <w:rPr>
      <w:vertAlign w:val="superscript"/>
    </w:rPr>
  </w:style>
  <w:style w:type="paragraph" w:styleId="Sansinterligne">
    <w:name w:val="No Spacing"/>
    <w:link w:val="SansinterligneCar"/>
    <w:uiPriority w:val="1"/>
    <w:qFormat/>
    <w:rsid w:val="0043665E"/>
    <w:pPr>
      <w:spacing w:after="0" w:line="240" w:lineRule="auto"/>
    </w:pPr>
    <w:rPr>
      <w:rFonts w:ascii="Calibri" w:eastAsia="Calibri" w:hAnsi="Calibri" w:cs="Times New Roman"/>
      <w:lang w:val="en-GB"/>
    </w:rPr>
  </w:style>
  <w:style w:type="table" w:styleId="Grilledutableau">
    <w:name w:val="Table Grid"/>
    <w:basedOn w:val="TableauNormal"/>
    <w:rsid w:val="0043665E"/>
    <w:pPr>
      <w:spacing w:after="0" w:line="240" w:lineRule="auto"/>
    </w:pPr>
    <w:rPr>
      <w:rFonts w:ascii="Calibri" w:eastAsia="Calibri" w:hAnsi="Calibri" w:cs="Times New Roman"/>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sinterligneCar">
    <w:name w:val="Sans interligne Car"/>
    <w:basedOn w:val="Policepardfaut"/>
    <w:link w:val="Sansinterligne"/>
    <w:uiPriority w:val="1"/>
    <w:rsid w:val="0043665E"/>
    <w:rPr>
      <w:rFonts w:ascii="Calibri" w:eastAsia="Calibri" w:hAnsi="Calibri" w:cs="Times New Roman"/>
      <w:lang w:val="en-GB"/>
    </w:rPr>
  </w:style>
  <w:style w:type="paragraph" w:styleId="Pieddepage">
    <w:name w:val="footer"/>
    <w:basedOn w:val="Normal"/>
    <w:link w:val="PieddepageCar"/>
    <w:uiPriority w:val="99"/>
    <w:unhideWhenUsed/>
    <w:rsid w:val="0043665E"/>
    <w:pPr>
      <w:tabs>
        <w:tab w:val="clear" w:pos="567"/>
        <w:tab w:val="center" w:pos="4536"/>
        <w:tab w:val="right" w:pos="9072"/>
      </w:tabs>
      <w:spacing w:before="0" w:after="0"/>
    </w:pPr>
  </w:style>
  <w:style w:type="character" w:customStyle="1" w:styleId="PieddepageCar">
    <w:name w:val="Pied de page Car"/>
    <w:basedOn w:val="Policepardfaut"/>
    <w:link w:val="Pieddepage"/>
    <w:uiPriority w:val="99"/>
    <w:rsid w:val="0043665E"/>
    <w:rPr>
      <w:rFonts w:ascii="Arial" w:eastAsia="SimSun" w:hAnsi="Arial" w:cs="Arial"/>
      <w:snapToGrid w:val="0"/>
      <w:szCs w:val="24"/>
      <w:lang w:val="en-US" w:eastAsia="zh-CN"/>
    </w:rPr>
  </w:style>
  <w:style w:type="character" w:styleId="Marquedecommentaire">
    <w:name w:val="annotation reference"/>
    <w:basedOn w:val="Policepardfaut"/>
    <w:uiPriority w:val="99"/>
    <w:semiHidden/>
    <w:unhideWhenUsed/>
    <w:rsid w:val="0043665E"/>
    <w:rPr>
      <w:sz w:val="16"/>
      <w:szCs w:val="16"/>
    </w:rPr>
  </w:style>
  <w:style w:type="paragraph" w:styleId="Commentaire">
    <w:name w:val="annotation text"/>
    <w:basedOn w:val="Normal"/>
    <w:link w:val="CommentaireCar"/>
    <w:uiPriority w:val="99"/>
    <w:unhideWhenUsed/>
    <w:rsid w:val="0043665E"/>
    <w:rPr>
      <w:sz w:val="20"/>
      <w:szCs w:val="20"/>
    </w:rPr>
  </w:style>
  <w:style w:type="character" w:customStyle="1" w:styleId="CommentaireCar">
    <w:name w:val="Commentaire Car"/>
    <w:basedOn w:val="Policepardfaut"/>
    <w:link w:val="Commentaire"/>
    <w:uiPriority w:val="99"/>
    <w:rsid w:val="0043665E"/>
    <w:rPr>
      <w:rFonts w:ascii="Arial" w:eastAsia="SimSun" w:hAnsi="Arial" w:cs="Arial"/>
      <w:snapToGrid w:val="0"/>
      <w:sz w:val="20"/>
      <w:szCs w:val="20"/>
      <w:lang w:val="en-US" w:eastAsia="zh-CN"/>
    </w:rPr>
  </w:style>
  <w:style w:type="paragraph" w:styleId="Objetducommentaire">
    <w:name w:val="annotation subject"/>
    <w:basedOn w:val="Commentaire"/>
    <w:next w:val="Commentaire"/>
    <w:link w:val="ObjetducommentaireCar"/>
    <w:uiPriority w:val="99"/>
    <w:semiHidden/>
    <w:unhideWhenUsed/>
    <w:rsid w:val="0043665E"/>
    <w:rPr>
      <w:b/>
      <w:bCs/>
    </w:rPr>
  </w:style>
  <w:style w:type="character" w:customStyle="1" w:styleId="ObjetducommentaireCar">
    <w:name w:val="Objet du commentaire Car"/>
    <w:basedOn w:val="CommentaireCar"/>
    <w:link w:val="Objetducommentaire"/>
    <w:uiPriority w:val="99"/>
    <w:semiHidden/>
    <w:rsid w:val="0043665E"/>
    <w:rPr>
      <w:rFonts w:ascii="Arial" w:eastAsia="SimSun" w:hAnsi="Arial" w:cs="Arial"/>
      <w:b/>
      <w:bCs/>
      <w:snapToGrid w:val="0"/>
      <w:sz w:val="20"/>
      <w:szCs w:val="20"/>
      <w:lang w:val="en-US" w:eastAsia="zh-CN"/>
    </w:rPr>
  </w:style>
  <w:style w:type="paragraph" w:styleId="Textedebulles">
    <w:name w:val="Balloon Text"/>
    <w:basedOn w:val="Normal"/>
    <w:link w:val="TextedebullesCar"/>
    <w:uiPriority w:val="99"/>
    <w:semiHidden/>
    <w:unhideWhenUsed/>
    <w:rsid w:val="0043665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65E"/>
    <w:rPr>
      <w:rFonts w:ascii="Tahoma" w:eastAsia="SimSun" w:hAnsi="Tahoma" w:cs="Tahoma"/>
      <w:snapToGrid w:val="0"/>
      <w:sz w:val="16"/>
      <w:szCs w:val="16"/>
      <w:lang w:val="en-US" w:eastAsia="zh-CN"/>
    </w:rPr>
  </w:style>
  <w:style w:type="paragraph" w:styleId="Notedebasdepage">
    <w:name w:val="footnote text"/>
    <w:basedOn w:val="Normal"/>
    <w:link w:val="NotedebasdepageCar"/>
    <w:unhideWhenUsed/>
    <w:rsid w:val="00EA348C"/>
    <w:pPr>
      <w:tabs>
        <w:tab w:val="clear" w:pos="567"/>
        <w:tab w:val="left" w:pos="284"/>
      </w:tabs>
      <w:spacing w:before="0" w:after="60" w:line="180" w:lineRule="exact"/>
      <w:ind w:left="284" w:hanging="284"/>
    </w:pPr>
    <w:rPr>
      <w:sz w:val="16"/>
      <w:szCs w:val="20"/>
    </w:rPr>
  </w:style>
  <w:style w:type="character" w:customStyle="1" w:styleId="NotedebasdepageCar">
    <w:name w:val="Note de bas de page Car"/>
    <w:basedOn w:val="Policepardfaut"/>
    <w:link w:val="Notedebasdepage"/>
    <w:rsid w:val="00EA348C"/>
    <w:rPr>
      <w:rFonts w:ascii="Arial" w:eastAsia="SimSun" w:hAnsi="Arial" w:cs="Arial"/>
      <w:snapToGrid w:val="0"/>
      <w:sz w:val="16"/>
      <w:szCs w:val="20"/>
      <w:lang w:val="en-US" w:eastAsia="zh-CN"/>
    </w:rPr>
  </w:style>
  <w:style w:type="paragraph" w:styleId="Listepuces">
    <w:name w:val="List Bullet"/>
    <w:basedOn w:val="Normal"/>
    <w:uiPriority w:val="99"/>
    <w:unhideWhenUsed/>
    <w:rsid w:val="0043665E"/>
    <w:pPr>
      <w:numPr>
        <w:numId w:val="10"/>
      </w:numPr>
      <w:contextualSpacing/>
    </w:pPr>
  </w:style>
  <w:style w:type="paragraph" w:customStyle="1" w:styleId="Chapitre">
    <w:name w:val="Chapitre"/>
    <w:basedOn w:val="Titre1"/>
    <w:link w:val="ChapitreCar"/>
    <w:rsid w:val="00EA348C"/>
    <w:pPr>
      <w:spacing w:after="480" w:line="840" w:lineRule="exact"/>
    </w:pPr>
    <w:rPr>
      <w:rFonts w:ascii="Arial Gras" w:hAnsi="Arial Gras"/>
      <w:b/>
      <w:caps/>
      <w:noProof/>
      <w:color w:val="3366FF"/>
      <w:sz w:val="70"/>
      <w:szCs w:val="70"/>
    </w:rPr>
  </w:style>
  <w:style w:type="character" w:customStyle="1" w:styleId="ChapitreCar">
    <w:name w:val="Chapitre Car"/>
    <w:link w:val="Chapitre"/>
    <w:rsid w:val="00EA348C"/>
    <w:rPr>
      <w:rFonts w:ascii="Arial Gras" w:eastAsia="Times New Roman" w:hAnsi="Arial Gras" w:cs="Arial"/>
      <w:b/>
      <w:bCs/>
      <w:caps/>
      <w:noProof/>
      <w:snapToGrid w:val="0"/>
      <w:color w:val="3366FF"/>
      <w:kern w:val="28"/>
      <w:sz w:val="70"/>
      <w:szCs w:val="70"/>
      <w:lang w:val="en-GB" w:eastAsia="zh-CN"/>
    </w:rPr>
  </w:style>
  <w:style w:type="paragraph" w:customStyle="1" w:styleId="Titcoul">
    <w:name w:val="Titcoul"/>
    <w:basedOn w:val="Titre1"/>
    <w:link w:val="TitcoulCar"/>
    <w:rsid w:val="00EA348C"/>
    <w:pPr>
      <w:pBdr>
        <w:bottom w:val="none" w:sz="0" w:space="0" w:color="auto"/>
      </w:pBdr>
      <w:spacing w:before="480" w:after="480" w:line="480" w:lineRule="exact"/>
    </w:pPr>
    <w:rPr>
      <w:rFonts w:ascii="Arial Bold" w:hAnsi="Arial Bold"/>
      <w:b/>
      <w:noProof/>
      <w:color w:val="3366FF"/>
      <w:sz w:val="32"/>
      <w:szCs w:val="32"/>
    </w:rPr>
  </w:style>
  <w:style w:type="character" w:customStyle="1" w:styleId="TitcoulCar">
    <w:name w:val="Titcoul Car"/>
    <w:link w:val="Titcoul"/>
    <w:rsid w:val="00EA348C"/>
    <w:rPr>
      <w:rFonts w:ascii="Arial Bold" w:eastAsia="Times New Roman" w:hAnsi="Arial Bold" w:cs="Arial"/>
      <w:b/>
      <w:bCs/>
      <w:noProof/>
      <w:snapToGrid w:val="0"/>
      <w:color w:val="3366FF"/>
      <w:kern w:val="28"/>
      <w:sz w:val="32"/>
      <w:szCs w:val="32"/>
      <w:lang w:val="en-GB" w:eastAsia="zh-CN"/>
    </w:rPr>
  </w:style>
  <w:style w:type="paragraph" w:customStyle="1" w:styleId="Texte1">
    <w:name w:val="Texte1"/>
    <w:basedOn w:val="Normal"/>
    <w:link w:val="Texte1Car"/>
    <w:rsid w:val="00EA348C"/>
    <w:pPr>
      <w:spacing w:before="0" w:after="60" w:line="280" w:lineRule="exact"/>
      <w:ind w:left="851"/>
    </w:pPr>
    <w:rPr>
      <w:snapToGrid/>
      <w:sz w:val="20"/>
      <w:lang w:val="fr-FR"/>
    </w:rPr>
  </w:style>
  <w:style w:type="character" w:customStyle="1" w:styleId="Texte1Car">
    <w:name w:val="Texte1 Car"/>
    <w:link w:val="Texte1"/>
    <w:rsid w:val="00EA348C"/>
    <w:rPr>
      <w:rFonts w:ascii="Arial" w:eastAsia="SimSun" w:hAnsi="Arial" w:cs="Arial"/>
      <w:sz w:val="20"/>
      <w:szCs w:val="24"/>
      <w:lang w:eastAsia="zh-CN"/>
    </w:rPr>
  </w:style>
  <w:style w:type="paragraph" w:customStyle="1" w:styleId="Enutiret">
    <w:name w:val="Enutiret"/>
    <w:basedOn w:val="Normal"/>
    <w:link w:val="EnutiretCar"/>
    <w:rsid w:val="007D66AD"/>
    <w:pPr>
      <w:tabs>
        <w:tab w:val="clear" w:pos="567"/>
      </w:tabs>
      <w:snapToGrid/>
      <w:spacing w:before="0" w:after="60" w:line="280" w:lineRule="exact"/>
      <w:jc w:val="left"/>
    </w:pPr>
    <w:rPr>
      <w:rFonts w:ascii="Calibri" w:eastAsia="Calibri" w:hAnsi="Calibri" w:cs="Times New Roman"/>
      <w:noProof/>
      <w:snapToGrid/>
      <w:sz w:val="20"/>
      <w:szCs w:val="20"/>
      <w:lang w:val="fr-FR" w:eastAsia="en-US"/>
    </w:rPr>
  </w:style>
  <w:style w:type="character" w:customStyle="1" w:styleId="EnutiretCar">
    <w:name w:val="Enutiret Car"/>
    <w:link w:val="Enutiret"/>
    <w:rsid w:val="007D66AD"/>
    <w:rPr>
      <w:rFonts w:ascii="Calibri" w:eastAsia="Calibri" w:hAnsi="Calibri" w:cs="Times New Roman"/>
      <w:noProof/>
      <w:sz w:val="20"/>
      <w:szCs w:val="20"/>
    </w:rPr>
  </w:style>
  <w:style w:type="paragraph" w:customStyle="1" w:styleId="Tabtxt">
    <w:name w:val="Tabtxt"/>
    <w:basedOn w:val="Normal"/>
    <w:rsid w:val="00BC79D7"/>
    <w:pPr>
      <w:keepNext/>
      <w:spacing w:before="60" w:after="60" w:line="200" w:lineRule="exact"/>
      <w:ind w:left="567"/>
      <w:jc w:val="center"/>
    </w:pPr>
    <w:rPr>
      <w:snapToGrid/>
      <w:sz w:val="18"/>
      <w:szCs w:val="18"/>
      <w:lang w:val="fr-FR" w:eastAsia="fr-FR"/>
    </w:rPr>
  </w:style>
  <w:style w:type="paragraph" w:customStyle="1" w:styleId="Soustitre">
    <w:name w:val="Soustitre"/>
    <w:basedOn w:val="Normal"/>
    <w:link w:val="SoustitreCar"/>
    <w:rsid w:val="00EA348C"/>
    <w:pPr>
      <w:keepNext/>
      <w:tabs>
        <w:tab w:val="clear" w:pos="567"/>
      </w:tabs>
      <w:snapToGrid/>
      <w:spacing w:before="200" w:after="60" w:line="280" w:lineRule="exact"/>
      <w:jc w:val="left"/>
    </w:pPr>
    <w:rPr>
      <w:rFonts w:ascii="Arial Gras" w:hAnsi="Arial Gras"/>
      <w:b/>
      <w:bCs/>
      <w:i/>
      <w:noProof/>
      <w:snapToGrid/>
      <w:sz w:val="20"/>
      <w:szCs w:val="20"/>
      <w:lang w:val="fr-FR" w:eastAsia="en-US"/>
    </w:rPr>
  </w:style>
  <w:style w:type="character" w:customStyle="1" w:styleId="SoustitreCar">
    <w:name w:val="Soustitre Car"/>
    <w:link w:val="Soustitre"/>
    <w:rsid w:val="00EA348C"/>
    <w:rPr>
      <w:rFonts w:ascii="Arial Gras" w:eastAsia="SimSun" w:hAnsi="Arial Gras" w:cs="Arial"/>
      <w:b/>
      <w:bCs/>
      <w: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3B25-2885-4078-B65C-85CD1653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1055</Words>
  <Characters>5807</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user</cp:lastModifiedBy>
  <cp:revision>3</cp:revision>
  <dcterms:created xsi:type="dcterms:W3CDTF">2019-06-18T10:13:00Z</dcterms:created>
  <dcterms:modified xsi:type="dcterms:W3CDTF">2019-07-04T10:43:00Z</dcterms:modified>
</cp:coreProperties>
</file>