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BD" w:rsidRPr="00D11FA6" w:rsidRDefault="005A2FBD" w:rsidP="005A2FBD">
      <w:pPr>
        <w:pStyle w:val="Titre4"/>
        <w:jc w:val="center"/>
      </w:pPr>
      <w:r w:rsidRPr="00D11FA6"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FICHE TYPE : INVENTAIRES DU PCI</w:t>
      </w:r>
    </w:p>
    <w:p w:rsidR="005A2FBD" w:rsidRPr="00FC1F75" w:rsidRDefault="005A2FBD" w:rsidP="005A2FBD">
      <w:pPr>
        <w:pStyle w:val="Titre4"/>
      </w:pPr>
      <w:r w:rsidRPr="00FC1F75">
        <w:t>ReGION :</w:t>
      </w:r>
      <w:r>
        <w:t xml:space="preserve"> KOLDA</w:t>
      </w:r>
    </w:p>
    <w:p w:rsidR="005A2FBD" w:rsidRPr="00FC1F75" w:rsidRDefault="005A2FBD" w:rsidP="005A2FBD">
      <w:pPr>
        <w:rPr>
          <w:b/>
          <w:lang w:val="fr-FR" w:eastAsia="en-US"/>
        </w:rPr>
      </w:pPr>
      <w:r w:rsidRPr="00FC1F75">
        <w:rPr>
          <w:b/>
          <w:lang w:val="fr-FR" w:eastAsia="en-US"/>
        </w:rPr>
        <w:t>DEPARTEMENT :</w:t>
      </w:r>
      <w:r>
        <w:rPr>
          <w:b/>
          <w:lang w:val="fr-FR" w:eastAsia="en-US"/>
        </w:rPr>
        <w:t xml:space="preserve"> Vélingara</w:t>
      </w:r>
    </w:p>
    <w:p w:rsidR="005A2FBD" w:rsidRPr="00D86A23" w:rsidRDefault="005A2FBD" w:rsidP="00D86A23">
      <w:pPr>
        <w:pStyle w:val="Titre4"/>
        <w:rPr>
          <w:rFonts w:eastAsia="Times New Roman" w:cs="Times New Roman"/>
          <w:color w:val="FF0000"/>
        </w:rPr>
      </w:pPr>
      <w:r w:rsidRPr="00FC1F75">
        <w:t>NUMERO</w:t>
      </w:r>
      <w:r>
        <w:t xml:space="preserve"> DE LA FICHE</w:t>
      </w:r>
      <w:r w:rsidR="00B311C3">
        <w:t> </w:t>
      </w:r>
      <w:r w:rsidR="00B311C3" w:rsidRPr="00B311C3">
        <w:rPr>
          <w:sz w:val="32"/>
        </w:rPr>
        <w:t xml:space="preserve">: </w:t>
      </w:r>
      <w:r w:rsidR="00D86A23">
        <w:rPr>
          <w:rFonts w:ascii="Times New Roman" w:hAnsi="Times New Roman"/>
          <w:szCs w:val="20"/>
          <w:highlight w:val="cyan"/>
        </w:rPr>
        <w:t>SNKD7VLGPCI (1ou 3</w:t>
      </w:r>
      <w:r w:rsidR="00D86A23">
        <w:rPr>
          <w:rFonts w:ascii="Times New Roman" w:hAnsi="Times New Roman"/>
          <w:szCs w:val="20"/>
          <w:highlight w:val="cyan"/>
        </w:rPr>
        <w:t>)</w:t>
      </w: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8364"/>
      </w:tblGrid>
      <w:tr w:rsidR="005A2FBD" w:rsidRPr="00D86A23" w:rsidTr="007F43B7">
        <w:trPr>
          <w:trHeight w:val="122"/>
        </w:trPr>
        <w:tc>
          <w:tcPr>
            <w:tcW w:w="1129" w:type="dxa"/>
            <w:shd w:val="clear" w:color="auto" w:fill="F2F2F2"/>
          </w:tcPr>
          <w:p w:rsidR="005A2FBD" w:rsidRPr="00C92ED6" w:rsidRDefault="005A2FBD" w:rsidP="00F06C2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364" w:type="dxa"/>
            <w:shd w:val="clear" w:color="auto" w:fill="F2F2F2"/>
          </w:tcPr>
          <w:p w:rsidR="005A2FBD" w:rsidRPr="007254B2" w:rsidRDefault="005A2FBD" w:rsidP="00F06C26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 w:hint="eastAsia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5A2FBD" w:rsidRPr="00A06BCB" w:rsidTr="007F43B7">
        <w:trPr>
          <w:trHeight w:val="546"/>
        </w:trPr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48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</w:p>
          <w:p w:rsidR="005A2FBD" w:rsidRPr="006F7C83" w:rsidRDefault="001E6F26" w:rsidP="00F94C12">
            <w:pPr>
              <w:pStyle w:val="Paragraphedeliste"/>
              <w:numPr>
                <w:ilvl w:val="0"/>
                <w:numId w:val="15"/>
              </w:numPr>
              <w:spacing w:before="0" w:after="0" w:line="360" w:lineRule="auto"/>
              <w:jc w:val="left"/>
              <w:rPr>
                <w:b/>
                <w:snapToGrid/>
                <w:sz w:val="20"/>
                <w:szCs w:val="20"/>
                <w:lang w:val="fr-FR" w:eastAsia="fr-FR"/>
              </w:rPr>
            </w:pPr>
            <w:r>
              <w:rPr>
                <w:b/>
                <w:snapToGrid/>
                <w:sz w:val="20"/>
                <w:szCs w:val="20"/>
                <w:lang w:val="fr-FR" w:eastAsia="fr-FR"/>
              </w:rPr>
              <w:t>MOONDE</w:t>
            </w:r>
            <w:r w:rsidR="005A2FBD" w:rsidRPr="006F7C83">
              <w:rPr>
                <w:b/>
                <w:snapToGrid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FC1F75" w:rsidRDefault="005A2FBD" w:rsidP="00F06C26">
            <w:pPr>
              <w:spacing w:before="0" w:after="0" w:line="360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FC1F75">
              <w:rPr>
                <w:snapToGrid/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</w:p>
          <w:p w:rsidR="005A2FBD" w:rsidRPr="00F14559" w:rsidRDefault="00F94C12" w:rsidP="00F94C12">
            <w:pPr>
              <w:pStyle w:val="Paragraphedeliste"/>
              <w:numPr>
                <w:ilvl w:val="0"/>
                <w:numId w:val="15"/>
              </w:numPr>
              <w:spacing w:before="0" w:after="0" w:line="360" w:lineRule="auto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F14559">
              <w:rPr>
                <w:b/>
                <w:snapToGrid/>
                <w:color w:val="FF0000"/>
                <w:sz w:val="20"/>
                <w:szCs w:val="20"/>
                <w:highlight w:val="green"/>
                <w:lang w:val="fr-FR" w:eastAsia="fr-FR"/>
              </w:rPr>
              <w:t>Invocation de la protection contre le mal, pour le développement du troupeau et de la famille</w:t>
            </w:r>
          </w:p>
          <w:p w:rsidR="00F14559" w:rsidRPr="00F94C12" w:rsidRDefault="00F14559" w:rsidP="00F94C12">
            <w:pPr>
              <w:pStyle w:val="Paragraphedeliste"/>
              <w:numPr>
                <w:ilvl w:val="0"/>
                <w:numId w:val="15"/>
              </w:numPr>
              <w:spacing w:before="0" w:after="0" w:line="360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F14559">
              <w:rPr>
                <w:b/>
                <w:snapToGrid/>
                <w:color w:val="FF0000"/>
                <w:sz w:val="20"/>
                <w:szCs w:val="20"/>
                <w:lang w:val="fr-FR" w:eastAsia="fr-FR"/>
              </w:rPr>
              <w:t>Savoirs et connaissances liées à la nature, pratiques et représentations sociales</w:t>
            </w:r>
          </w:p>
        </w:tc>
      </w:tr>
      <w:tr w:rsidR="005A2FBD" w:rsidRPr="00C92ED6" w:rsidTr="007F43B7">
        <w:tc>
          <w:tcPr>
            <w:tcW w:w="1129" w:type="dxa"/>
            <w:shd w:val="clear" w:color="auto" w:fill="auto"/>
          </w:tcPr>
          <w:p w:rsidR="005A2FBD" w:rsidRPr="00FC1F75" w:rsidRDefault="005A2FBD" w:rsidP="00F06C26">
            <w:pPr>
              <w:spacing w:before="0" w:after="0" w:line="360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FC1F75">
              <w:rPr>
                <w:snapToGrid/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FC1F75">
              <w:rPr>
                <w:snapToGrid/>
                <w:sz w:val="18"/>
                <w:szCs w:val="18"/>
                <w:lang w:val="fr-FR" w:eastAsia="fr-FR"/>
              </w:rPr>
              <w:t>Communauté (s) concernée (s)</w:t>
            </w:r>
          </w:p>
          <w:p w:rsidR="005A2FBD" w:rsidRPr="006F7C83" w:rsidRDefault="001E6F26" w:rsidP="005A2FBD">
            <w:pPr>
              <w:pStyle w:val="Paragraphedeliste"/>
              <w:numPr>
                <w:ilvl w:val="0"/>
                <w:numId w:val="14"/>
              </w:numPr>
              <w:spacing w:before="0" w:after="0" w:line="360" w:lineRule="auto"/>
              <w:jc w:val="left"/>
              <w:rPr>
                <w:b/>
                <w:snapToGrid/>
                <w:sz w:val="24"/>
                <w:lang w:val="fr-FR" w:eastAsia="fr-FR"/>
              </w:rPr>
            </w:pPr>
            <w:r>
              <w:rPr>
                <w:b/>
                <w:snapToGrid/>
                <w:sz w:val="20"/>
                <w:szCs w:val="20"/>
                <w:lang w:val="fr-FR" w:eastAsia="fr-FR"/>
              </w:rPr>
              <w:t>Peulh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FC1F75" w:rsidRDefault="005A2FBD" w:rsidP="00F06C26">
            <w:pPr>
              <w:spacing w:before="0" w:after="0" w:line="360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FC1F75">
              <w:rPr>
                <w:snapToGrid/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Emplacement(s) physique(s)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/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répartition et fréquence de la pratique de l’élément du PCI</w:t>
            </w:r>
          </w:p>
          <w:p w:rsidR="005A2FBD" w:rsidRPr="006F7C83" w:rsidRDefault="003E13D0" w:rsidP="003E13D0">
            <w:pPr>
              <w:pStyle w:val="Paragraphedeliste"/>
              <w:numPr>
                <w:ilvl w:val="0"/>
                <w:numId w:val="13"/>
              </w:numPr>
              <w:spacing w:before="0" w:after="0" w:line="360" w:lineRule="auto"/>
              <w:jc w:val="left"/>
              <w:rPr>
                <w:b/>
                <w:snapToGrid/>
                <w:sz w:val="20"/>
                <w:szCs w:val="20"/>
                <w:lang w:val="fr-FR" w:eastAsia="fr-FR"/>
              </w:rPr>
            </w:pPr>
            <w:proofErr w:type="spellStart"/>
            <w:r w:rsidRPr="003E13D0">
              <w:rPr>
                <w:b/>
                <w:snapToGrid/>
                <w:sz w:val="20"/>
                <w:szCs w:val="20"/>
                <w:lang w:val="fr-FR" w:eastAsia="fr-FR"/>
              </w:rPr>
              <w:t>Saré</w:t>
            </w:r>
            <w:proofErr w:type="spellEnd"/>
            <w:r w:rsidRPr="003E13D0">
              <w:rPr>
                <w:b/>
                <w:snapToGrid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3E13D0">
              <w:rPr>
                <w:b/>
                <w:snapToGrid/>
                <w:sz w:val="20"/>
                <w:szCs w:val="20"/>
                <w:lang w:val="fr-FR" w:eastAsia="fr-FR"/>
              </w:rPr>
              <w:t>Samthicka</w:t>
            </w:r>
            <w:proofErr w:type="spellEnd"/>
            <w:r w:rsidR="005A2FBD" w:rsidRPr="003E13D0">
              <w:rPr>
                <w:b/>
                <w:snapToGrid/>
                <w:sz w:val="20"/>
                <w:szCs w:val="20"/>
                <w:lang w:val="fr-FR" w:eastAsia="fr-FR"/>
              </w:rPr>
              <w:t xml:space="preserve">, Commune de </w:t>
            </w:r>
            <w:proofErr w:type="spellStart"/>
            <w:r w:rsidRPr="003E13D0">
              <w:rPr>
                <w:b/>
                <w:snapToGrid/>
                <w:sz w:val="20"/>
                <w:szCs w:val="20"/>
                <w:lang w:val="fr-FR" w:eastAsia="fr-FR"/>
              </w:rPr>
              <w:t>Saré</w:t>
            </w:r>
            <w:proofErr w:type="spellEnd"/>
            <w:r w:rsidRPr="003E13D0">
              <w:rPr>
                <w:b/>
                <w:snapToGrid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3E13D0">
              <w:rPr>
                <w:b/>
                <w:snapToGrid/>
                <w:sz w:val="20"/>
                <w:szCs w:val="20"/>
                <w:lang w:val="fr-FR" w:eastAsia="fr-FR"/>
              </w:rPr>
              <w:t>Bidji</w:t>
            </w:r>
            <w:proofErr w:type="spellEnd"/>
            <w:r w:rsidR="005A2FBD" w:rsidRPr="003E13D0">
              <w:rPr>
                <w:b/>
                <w:snapToGrid/>
                <w:sz w:val="20"/>
                <w:szCs w:val="20"/>
                <w:lang w:val="fr-FR" w:eastAsia="fr-FR"/>
              </w:rPr>
              <w:t xml:space="preserve"> ;  l’événement s’organise  </w:t>
            </w:r>
            <w:r w:rsidRPr="003E13D0">
              <w:rPr>
                <w:b/>
                <w:snapToGrid/>
                <w:sz w:val="20"/>
                <w:szCs w:val="20"/>
                <w:lang w:val="fr-FR" w:eastAsia="fr-FR"/>
              </w:rPr>
              <w:t xml:space="preserve">trois fois </w:t>
            </w:r>
            <w:r w:rsidR="005A2FBD" w:rsidRPr="003E13D0">
              <w:rPr>
                <w:b/>
                <w:snapToGrid/>
                <w:sz w:val="20"/>
                <w:szCs w:val="20"/>
                <w:lang w:val="fr-FR" w:eastAsia="fr-FR"/>
              </w:rPr>
              <w:t>en session ordinaire</w:t>
            </w:r>
            <w:r w:rsidRPr="003E13D0">
              <w:rPr>
                <w:b/>
                <w:snapToGrid/>
                <w:sz w:val="20"/>
                <w:szCs w:val="20"/>
                <w:lang w:val="fr-FR" w:eastAsia="fr-FR"/>
              </w:rPr>
              <w:t>. Cependant certains bergers en organisent plus ou moins selon les désirs du responsable du troupeau</w:t>
            </w:r>
          </w:p>
        </w:tc>
      </w:tr>
      <w:tr w:rsidR="005A2FBD" w:rsidRPr="00D86A23" w:rsidTr="007F43B7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5A2FBD" w:rsidRPr="00FC1F75" w:rsidRDefault="005A2FBD" w:rsidP="00F06C26">
            <w:pPr>
              <w:spacing w:before="0" w:after="0" w:line="360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FC1F75">
              <w:rPr>
                <w:snapToGrid/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</w:p>
          <w:p w:rsidR="005A2FBD" w:rsidRPr="006F7C83" w:rsidRDefault="005A2FBD" w:rsidP="00F00E2C">
            <w:pPr>
              <w:pStyle w:val="Paragraphedeliste"/>
              <w:numPr>
                <w:ilvl w:val="0"/>
                <w:numId w:val="12"/>
              </w:numPr>
              <w:spacing w:before="0" w:after="0" w:line="360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Ce  rite est pratiqué par </w:t>
            </w:r>
            <w:r w:rsidR="00720C82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toute la communauté. </w:t>
            </w:r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il est célébré pour faire des invocations au Dieu tout puissant </w:t>
            </w:r>
            <w:r w:rsidR="00720C82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au moins trois fois par années. Il permet de déparasiter les vaches, d’introduire dans cette cure salée des  </w:t>
            </w:r>
            <w:r w:rsidR="00F00E2C">
              <w:rPr>
                <w:b/>
                <w:i/>
                <w:snapToGrid/>
                <w:sz w:val="20"/>
                <w:szCs w:val="20"/>
                <w:lang w:val="fr-FR" w:eastAsia="fr-FR"/>
              </w:rPr>
              <w:t>produits</w:t>
            </w:r>
            <w:r w:rsidR="00F94C12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très favorable à</w:t>
            </w:r>
            <w:r w:rsidR="00720C82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la santé des animaux ;</w:t>
            </w:r>
            <w:r w:rsidR="00F00E2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mais aussi </w:t>
            </w:r>
            <w:r w:rsidR="00F94C12">
              <w:rPr>
                <w:b/>
                <w:i/>
                <w:snapToGrid/>
                <w:sz w:val="20"/>
                <w:szCs w:val="20"/>
                <w:lang w:val="fr-FR" w:eastAsia="fr-FR"/>
              </w:rPr>
              <w:t>de se confier à</w:t>
            </w:r>
            <w:r w:rsidR="00720C82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ces vaches pour que ces dernières puissent </w:t>
            </w:r>
            <w:r w:rsidR="00F00E2C">
              <w:rPr>
                <w:b/>
                <w:i/>
                <w:snapToGrid/>
                <w:sz w:val="20"/>
                <w:szCs w:val="20"/>
                <w:lang w:val="fr-FR" w:eastAsia="fr-FR"/>
              </w:rPr>
              <w:t>protéger la communauté quand c’est nécessaire.</w:t>
            </w:r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F2F2F2"/>
          </w:tcPr>
          <w:p w:rsidR="005A2FBD" w:rsidRPr="00FC1F75" w:rsidRDefault="005A2FBD" w:rsidP="00F06C26">
            <w:pPr>
              <w:spacing w:before="0" w:after="0" w:line="360" w:lineRule="auto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FC1F75">
              <w:rPr>
                <w:snapToGrid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8364" w:type="dxa"/>
            <w:shd w:val="clear" w:color="auto" w:fill="F2F2F2"/>
          </w:tcPr>
          <w:p w:rsidR="005A2FBD" w:rsidRPr="001931A1" w:rsidRDefault="005A2FBD" w:rsidP="00F06C26">
            <w:pPr>
              <w:spacing w:before="0" w:after="0" w:line="360" w:lineRule="auto"/>
              <w:ind w:left="113"/>
              <w:jc w:val="left"/>
              <w:rPr>
                <w:b/>
                <w:snapToGrid/>
                <w:sz w:val="24"/>
                <w:lang w:val="fr-FR" w:eastAsia="fr-FR"/>
              </w:rPr>
            </w:pPr>
            <w:r w:rsidRPr="001931A1">
              <w:rPr>
                <w:snapToGrid/>
                <w:sz w:val="24"/>
                <w:lang w:val="fr-FR" w:eastAsia="fr-FR"/>
              </w:rPr>
              <w:t>Caractéristiques de l’élément du PCI</w:t>
            </w:r>
          </w:p>
        </w:tc>
      </w:tr>
      <w:tr w:rsidR="005A2FBD" w:rsidRPr="00D86A23" w:rsidTr="007F43B7">
        <w:trPr>
          <w:trHeight w:val="895"/>
        </w:trPr>
        <w:tc>
          <w:tcPr>
            <w:tcW w:w="1129" w:type="dxa"/>
            <w:shd w:val="clear" w:color="auto" w:fill="auto"/>
          </w:tcPr>
          <w:p w:rsidR="005A2FBD" w:rsidRPr="006F7C83" w:rsidRDefault="005A2FBD" w:rsidP="005A2FBD">
            <w:pPr>
              <w:pStyle w:val="Paragraphedeliste"/>
              <w:numPr>
                <w:ilvl w:val="0"/>
                <w:numId w:val="11"/>
              </w:numPr>
              <w:spacing w:before="0" w:after="0" w:line="360" w:lineRule="auto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2.1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Praticien(s)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/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interprète(s) directement impliqué(s) dans la représentation ou la pratique de l’élément   du PCI (préciser nom, âge, sexe, catégorie professionnelle, etc.)</w:t>
            </w:r>
          </w:p>
          <w:p w:rsidR="005A2FBD" w:rsidRPr="006F7C83" w:rsidRDefault="00F00E2C" w:rsidP="00F00E2C">
            <w:pPr>
              <w:pStyle w:val="Paragraphedeliste"/>
              <w:numPr>
                <w:ilvl w:val="0"/>
                <w:numId w:val="11"/>
              </w:numPr>
              <w:spacing w:before="0" w:after="0" w:line="360" w:lineRule="auto"/>
              <w:ind w:right="113"/>
              <w:jc w:val="left"/>
              <w:rPr>
                <w:i/>
                <w:snapToGrid/>
                <w:sz w:val="20"/>
                <w:szCs w:val="20"/>
                <w:lang w:val="fr-FR" w:eastAsia="fr-FR"/>
              </w:rPr>
            </w:pP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>Les hommes ; la décision les incombent. Ils dirigent presque toutes les opérations sauf le</w:t>
            </w:r>
            <w:r w:rsidR="00F94C12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moulage des écorces de l’arbre</w:t>
            </w: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</w:t>
            </w:r>
            <w:r w:rsidR="00F94C12" w:rsidRPr="00F94C12">
              <w:rPr>
                <w:b/>
                <w:i/>
                <w:snapToGrid/>
                <w:color w:val="FF0000"/>
                <w:sz w:val="20"/>
                <w:szCs w:val="20"/>
                <w:lang w:val="fr-FR" w:eastAsia="fr-FR"/>
              </w:rPr>
              <w:t>appelé</w:t>
            </w:r>
            <w:r w:rsidR="00F94C12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="00F94C12">
              <w:rPr>
                <w:b/>
                <w:i/>
                <w:snapToGrid/>
                <w:color w:val="FF0000"/>
                <w:sz w:val="20"/>
                <w:szCs w:val="20"/>
                <w:lang w:val="fr-FR" w:eastAsia="fr-FR"/>
              </w:rPr>
              <w:t>lalloori</w:t>
            </w:r>
            <w:proofErr w:type="spellEnd"/>
            <w:r w:rsidR="00F94C12">
              <w:rPr>
                <w:b/>
                <w:i/>
                <w:snapToGrid/>
                <w:color w:val="FF0000"/>
                <w:sz w:val="20"/>
                <w:szCs w:val="20"/>
                <w:lang w:val="fr-FR" w:eastAsia="fr-FR"/>
              </w:rPr>
              <w:t>.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1931A1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1931A1">
              <w:rPr>
                <w:snapToGrid/>
                <w:sz w:val="18"/>
                <w:szCs w:val="18"/>
                <w:lang w:val="fr-FR" w:eastAsia="fr-FR"/>
              </w:rPr>
              <w:t>2.2.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:rsidR="005A2FBD" w:rsidRPr="00F00E2C" w:rsidRDefault="00F00E2C" w:rsidP="00F00E2C">
            <w:pPr>
              <w:pStyle w:val="Paragraphedeliste"/>
              <w:numPr>
                <w:ilvl w:val="0"/>
                <w:numId w:val="11"/>
              </w:numPr>
              <w:spacing w:before="0" w:after="0" w:line="360" w:lineRule="auto"/>
              <w:ind w:right="113"/>
              <w:jc w:val="left"/>
              <w:rPr>
                <w:b/>
                <w:i/>
                <w:snapToGrid/>
                <w:sz w:val="20"/>
                <w:szCs w:val="20"/>
                <w:lang w:val="fr-FR" w:eastAsia="fr-FR"/>
              </w:rPr>
            </w:pPr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>Groupe de femmes âgées d’abord qui pratiquent le rite. Au fur et à mesure que dure l’évènement, des femmes plus jeunes rejoignent le groupe</w:t>
            </w:r>
            <w:r w:rsidRPr="00F00E2C">
              <w:rPr>
                <w:b/>
                <w:i/>
                <w:snapToGrid/>
                <w:sz w:val="20"/>
                <w:szCs w:val="20"/>
                <w:lang w:val="fr-FR" w:eastAsia="fr-FR"/>
              </w:rPr>
              <w:t>;</w:t>
            </w: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</w:t>
            </w:r>
            <w:r w:rsidR="005A2FBD"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Des garçons </w:t>
            </w: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et des jeunes filles </w:t>
            </w:r>
            <w:r w:rsidR="005A2FBD"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rejoignent le groupe pour participer à l’animation </w:t>
            </w:r>
          </w:p>
        </w:tc>
      </w:tr>
      <w:tr w:rsidR="005A2FBD" w:rsidRPr="00A06BCB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48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  <w:p w:rsidR="005A2FBD" w:rsidRPr="006F7C83" w:rsidRDefault="005A2FBD" w:rsidP="00F00E2C">
            <w:pPr>
              <w:pStyle w:val="Paragraphedeliste"/>
              <w:numPr>
                <w:ilvl w:val="0"/>
                <w:numId w:val="11"/>
              </w:numPr>
              <w:spacing w:before="0" w:after="0" w:line="360" w:lineRule="auto"/>
              <w:ind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6F7C83">
              <w:rPr>
                <w:b/>
                <w:snapToGrid/>
                <w:sz w:val="18"/>
                <w:szCs w:val="18"/>
                <w:lang w:val="fr-FR" w:eastAsia="fr-FR"/>
              </w:rPr>
              <w:t xml:space="preserve">Le </w:t>
            </w:r>
            <w:proofErr w:type="spellStart"/>
            <w:r w:rsidR="00F00E2C">
              <w:rPr>
                <w:b/>
                <w:snapToGrid/>
                <w:sz w:val="18"/>
                <w:szCs w:val="18"/>
                <w:lang w:val="fr-FR" w:eastAsia="fr-FR"/>
              </w:rPr>
              <w:t>Pulaar</w:t>
            </w:r>
            <w:proofErr w:type="spellEnd"/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2.4.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5A2FBD" w:rsidRPr="006F7C83" w:rsidRDefault="00F00E2C" w:rsidP="005A2FBD">
            <w:pPr>
              <w:pStyle w:val="Paragraphedeliste"/>
              <w:numPr>
                <w:ilvl w:val="0"/>
                <w:numId w:val="11"/>
              </w:numPr>
              <w:spacing w:before="0" w:after="0" w:line="360" w:lineRule="auto"/>
              <w:ind w:right="113"/>
              <w:jc w:val="left"/>
              <w:rPr>
                <w:b/>
                <w:snapToGrid/>
                <w:sz w:val="20"/>
                <w:szCs w:val="20"/>
                <w:lang w:val="fr-FR" w:eastAsia="fr-FR"/>
              </w:rPr>
            </w:pPr>
            <w:r>
              <w:rPr>
                <w:b/>
                <w:snapToGrid/>
                <w:sz w:val="20"/>
                <w:szCs w:val="20"/>
                <w:lang w:val="fr-FR" w:eastAsia="fr-FR"/>
              </w:rPr>
              <w:t xml:space="preserve">Ecorces de l’arbre </w:t>
            </w:r>
            <w:proofErr w:type="spellStart"/>
            <w:r w:rsidRP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>lalloori</w:t>
            </w:r>
            <w:proofErr w:type="spellEnd"/>
            <w:r>
              <w:rPr>
                <w:b/>
                <w:snapToGrid/>
                <w:sz w:val="20"/>
                <w:szCs w:val="20"/>
                <w:lang w:val="fr-FR" w:eastAsia="fr-FR"/>
              </w:rPr>
              <w:t xml:space="preserve">, </w:t>
            </w:r>
            <w:r w:rsidR="005465AB">
              <w:rPr>
                <w:b/>
                <w:snapToGrid/>
                <w:sz w:val="20"/>
                <w:szCs w:val="20"/>
                <w:lang w:val="fr-FR" w:eastAsia="fr-FR"/>
              </w:rPr>
              <w:t xml:space="preserve">des racines de </w:t>
            </w:r>
            <w:proofErr w:type="spellStart"/>
            <w:r w:rsidRP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>lakaaje</w:t>
            </w:r>
            <w:proofErr w:type="spellEnd"/>
            <w:r w:rsidR="005465AB">
              <w:rPr>
                <w:b/>
                <w:snapToGrid/>
                <w:sz w:val="20"/>
                <w:szCs w:val="20"/>
                <w:lang w:val="fr-FR" w:eastAsia="fr-FR"/>
              </w:rPr>
              <w:t>, des calebasses (</w:t>
            </w:r>
            <w:proofErr w:type="spellStart"/>
            <w:r w:rsidR="005465AB" w:rsidRP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>kore</w:t>
            </w:r>
            <w:proofErr w:type="spellEnd"/>
            <w:r w:rsidR="005465AB">
              <w:rPr>
                <w:b/>
                <w:snapToGrid/>
                <w:sz w:val="20"/>
                <w:szCs w:val="20"/>
                <w:lang w:val="fr-FR" w:eastAsia="fr-FR"/>
              </w:rPr>
              <w:t xml:space="preserve">), coupes </w:t>
            </w:r>
            <w:proofErr w:type="spellStart"/>
            <w:r w:rsidR="005465AB">
              <w:rPr>
                <w:b/>
                <w:snapToGrid/>
                <w:sz w:val="20"/>
                <w:szCs w:val="20"/>
                <w:lang w:val="fr-FR" w:eastAsia="fr-FR"/>
              </w:rPr>
              <w:t>coupes</w:t>
            </w:r>
            <w:proofErr w:type="spellEnd"/>
            <w:r w:rsidR="005465AB">
              <w:rPr>
                <w:b/>
                <w:snapToGrid/>
                <w:sz w:val="20"/>
                <w:szCs w:val="20"/>
                <w:lang w:val="fr-FR" w:eastAsia="fr-FR"/>
              </w:rPr>
              <w:t xml:space="preserve"> </w:t>
            </w:r>
            <w:r w:rsidR="005465AB" w:rsidRP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>(</w:t>
            </w:r>
            <w:proofErr w:type="spellStart"/>
            <w:r w:rsidR="005465AB" w:rsidRP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>fabbuuji</w:t>
            </w:r>
            <w:proofErr w:type="spellEnd"/>
            <w:r w:rsidR="005465AB" w:rsidRP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>),</w:t>
            </w:r>
            <w:r w:rsidR="005465AB">
              <w:rPr>
                <w:b/>
                <w:snapToGrid/>
                <w:sz w:val="20"/>
                <w:szCs w:val="20"/>
                <w:lang w:val="fr-FR" w:eastAsia="fr-FR"/>
              </w:rPr>
              <w:t xml:space="preserve"> des houes (</w:t>
            </w:r>
            <w:r w:rsidR="005465AB" w:rsidRP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>jale</w:t>
            </w:r>
            <w:r w:rsidR="005465AB">
              <w:rPr>
                <w:b/>
                <w:snapToGrid/>
                <w:sz w:val="20"/>
                <w:szCs w:val="20"/>
                <w:lang w:val="fr-FR" w:eastAsia="fr-FR"/>
              </w:rPr>
              <w:t>), une tenue en cotonnade pour le leader des hommes organisateur principal.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48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5A2FBD" w:rsidRPr="00B038EC" w:rsidRDefault="005A2FBD" w:rsidP="00CD57A4">
            <w:pPr>
              <w:pStyle w:val="Paragraphedeliste"/>
              <w:numPr>
                <w:ilvl w:val="0"/>
                <w:numId w:val="4"/>
              </w:numPr>
              <w:spacing w:before="0" w:after="0" w:line="360" w:lineRule="auto"/>
              <w:ind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Chants,  Danses, invocation spirituelles et interprétation </w:t>
            </w:r>
            <w:r w:rsid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>(à quel moment interviennent ces séquences)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5A2FBD" w:rsidRPr="00C34100" w:rsidRDefault="005A2FBD" w:rsidP="005A2FBD">
            <w:pPr>
              <w:pStyle w:val="Paragraphedeliste"/>
              <w:numPr>
                <w:ilvl w:val="0"/>
                <w:numId w:val="3"/>
              </w:numPr>
              <w:spacing w:before="0" w:after="0" w:line="360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</w:p>
          <w:p w:rsidR="005A2FBD" w:rsidRPr="00C34100" w:rsidRDefault="005A2FBD" w:rsidP="005A2FBD">
            <w:pPr>
              <w:pStyle w:val="Paragraphedeliste"/>
              <w:numPr>
                <w:ilvl w:val="0"/>
                <w:numId w:val="2"/>
              </w:numPr>
              <w:spacing w:before="0" w:after="0" w:line="360" w:lineRule="auto"/>
              <w:ind w:right="113"/>
              <w:jc w:val="left"/>
              <w:rPr>
                <w:b/>
                <w:i/>
                <w:snapToGrid/>
                <w:sz w:val="18"/>
                <w:szCs w:val="18"/>
                <w:lang w:val="fr-FR" w:eastAsia="fr-FR"/>
              </w:rPr>
            </w:pPr>
            <w:r w:rsidRPr="00C34100">
              <w:rPr>
                <w:b/>
                <w:i/>
                <w:snapToGrid/>
                <w:sz w:val="18"/>
                <w:szCs w:val="18"/>
                <w:lang w:val="fr-FR" w:eastAsia="fr-FR"/>
              </w:rPr>
              <w:t>Pour la transmission des savoirs et pratiques, il faut être membre de la communauté pour prétendre béné</w:t>
            </w:r>
            <w:r w:rsidR="002708FA">
              <w:rPr>
                <w:b/>
                <w:i/>
                <w:snapToGrid/>
                <w:sz w:val="18"/>
                <w:szCs w:val="18"/>
                <w:lang w:val="fr-FR" w:eastAsia="fr-FR"/>
              </w:rPr>
              <w:t xml:space="preserve">ficier de transfert des savoirs et </w:t>
            </w:r>
            <w:r w:rsidR="002708FA" w:rsidRPr="002708FA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>avoir été soumis au rite d’initiation au moins</w:t>
            </w:r>
            <w:r w:rsidRPr="002708FA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 xml:space="preserve"> depuis quelques années</w:t>
            </w:r>
            <w:r w:rsidR="002708FA" w:rsidRPr="002708FA">
              <w:rPr>
                <w:b/>
                <w:i/>
                <w:snapToGrid/>
                <w:color w:val="FF0000"/>
                <w:sz w:val="18"/>
                <w:szCs w:val="18"/>
                <w:lang w:val="fr-FR" w:eastAsia="fr-FR"/>
              </w:rPr>
              <w:t xml:space="preserve"> auparavant</w:t>
            </w:r>
            <w:r w:rsidR="002708FA">
              <w:rPr>
                <w:b/>
                <w:i/>
                <w:snapToGrid/>
                <w:sz w:val="18"/>
                <w:szCs w:val="18"/>
                <w:lang w:val="fr-FR" w:eastAsia="fr-FR"/>
              </w:rPr>
              <w:t>.</w:t>
            </w:r>
            <w:r w:rsidRPr="00C34100">
              <w:rPr>
                <w:b/>
                <w:i/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5A2FBD" w:rsidRPr="00D86A23" w:rsidTr="007F43B7">
        <w:trPr>
          <w:trHeight w:val="69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  <w:p w:rsidR="005A2FBD" w:rsidRPr="00CD57A4" w:rsidRDefault="00CD57A4" w:rsidP="00CD57A4">
            <w:pPr>
              <w:pStyle w:val="Paragraphedeliste"/>
              <w:numPr>
                <w:ilvl w:val="0"/>
                <w:numId w:val="1"/>
              </w:numPr>
              <w:spacing w:before="0" w:after="0" w:line="360" w:lineRule="auto"/>
              <w:ind w:right="113"/>
              <w:jc w:val="left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CD57A4">
              <w:rPr>
                <w:b/>
                <w:i/>
                <w:snapToGrid/>
                <w:sz w:val="20"/>
                <w:szCs w:val="20"/>
                <w:lang w:val="fr-FR" w:eastAsia="fr-FR"/>
              </w:rPr>
              <w:t>L</w:t>
            </w:r>
            <w:r w:rsid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>es personnes de la communauté</w:t>
            </w:r>
            <w:r w:rsidRPr="00CD57A4">
              <w:rPr>
                <w:b/>
                <w:i/>
                <w:snapToGrid/>
                <w:sz w:val="20"/>
                <w:szCs w:val="20"/>
                <w:lang w:val="fr-FR" w:eastAsia="fr-FR"/>
              </w:rPr>
              <w:t>, l</w:t>
            </w:r>
            <w:r w:rsidR="005A2FBD" w:rsidRPr="00CD57A4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es femmes âgées, les moins âgées et les enfants </w:t>
            </w:r>
            <w:r w:rsid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de </w:t>
            </w:r>
            <w:r w:rsidR="005A2FBD" w:rsidRPr="00CD57A4">
              <w:rPr>
                <w:b/>
                <w:i/>
                <w:snapToGrid/>
                <w:sz w:val="20"/>
                <w:szCs w:val="20"/>
                <w:lang w:val="fr-FR" w:eastAsia="fr-FR"/>
              </w:rPr>
              <w:t>tout sexe confondus</w:t>
            </w:r>
            <w:r w:rsidR="005A2FBD" w:rsidRPr="00CD57A4">
              <w:rPr>
                <w:b/>
                <w:snapToGrid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F2F2F2"/>
          </w:tcPr>
          <w:p w:rsidR="005A2FBD" w:rsidRPr="00C92ED6" w:rsidRDefault="005A2FBD" w:rsidP="00F06C26">
            <w:pPr>
              <w:spacing w:before="0" w:after="80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364" w:type="dxa"/>
            <w:shd w:val="clear" w:color="auto" w:fill="F2F2F2"/>
          </w:tcPr>
          <w:p w:rsidR="005A2FBD" w:rsidRPr="00543248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43248">
              <w:rPr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5A2FBD" w:rsidRPr="00CD57A4" w:rsidRDefault="005A2FBD" w:rsidP="00CD57A4">
            <w:pPr>
              <w:pStyle w:val="Paragraphedeliste"/>
              <w:numPr>
                <w:ilvl w:val="0"/>
                <w:numId w:val="1"/>
              </w:numPr>
              <w:spacing w:before="0" w:after="0" w:line="360" w:lineRule="auto"/>
              <w:ind w:right="113"/>
              <w:jc w:val="left"/>
              <w:rPr>
                <w:b/>
                <w:i/>
                <w:snapToGrid/>
                <w:sz w:val="20"/>
                <w:szCs w:val="20"/>
                <w:lang w:val="fr-FR" w:eastAsia="fr-FR"/>
              </w:rPr>
            </w:pPr>
            <w:r w:rsidRPr="00CD57A4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Le  vieillissement des pratiquants,  la fréquentation  de l’école et aussi l’influence des religions constituent des </w:t>
            </w:r>
            <w:r w:rsidR="00CD57A4" w:rsidRPr="00CD57A4">
              <w:rPr>
                <w:b/>
                <w:i/>
                <w:snapToGrid/>
                <w:sz w:val="20"/>
                <w:szCs w:val="20"/>
                <w:lang w:val="fr-FR" w:eastAsia="fr-FR"/>
              </w:rPr>
              <w:t>éléments</w:t>
            </w:r>
            <w:r w:rsidRPr="00CD57A4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favorisant l’abandon de la pratique. </w:t>
            </w:r>
            <w:r w:rsid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>La disparition</w:t>
            </w:r>
            <w:r w:rsidR="00CD57A4" w:rsidRPr="00CD57A4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progressive de</w:t>
            </w:r>
            <w:r w:rsidR="002708FA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l’arbre fétiche </w:t>
            </w:r>
            <w:r w:rsidR="002708FA" w:rsidRPr="002708FA">
              <w:rPr>
                <w:b/>
                <w:i/>
                <w:snapToGrid/>
                <w:color w:val="FF0000"/>
                <w:sz w:val="20"/>
                <w:szCs w:val="20"/>
                <w:lang w:val="fr-FR" w:eastAsia="fr-FR"/>
              </w:rPr>
              <w:t>menace la viabilité</w:t>
            </w:r>
            <w:r w:rsidR="00CD57A4" w:rsidRPr="002708FA">
              <w:rPr>
                <w:b/>
                <w:i/>
                <w:snapToGrid/>
                <w:color w:val="FF0000"/>
                <w:sz w:val="20"/>
                <w:szCs w:val="20"/>
                <w:lang w:val="fr-FR" w:eastAsia="fr-FR"/>
              </w:rPr>
              <w:t xml:space="preserve"> de ce rite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</w:p>
          <w:p w:rsidR="005A2FBD" w:rsidRPr="00B038EC" w:rsidRDefault="005A2FBD" w:rsidP="005A2FBD">
            <w:pPr>
              <w:pStyle w:val="Paragraphedeliste"/>
              <w:numPr>
                <w:ilvl w:val="0"/>
                <w:numId w:val="1"/>
              </w:numPr>
              <w:spacing w:before="0" w:after="0" w:line="360" w:lineRule="auto"/>
              <w:ind w:right="113"/>
              <w:jc w:val="left"/>
              <w:rPr>
                <w:b/>
                <w:i/>
                <w:snapToGrid/>
                <w:sz w:val="20"/>
                <w:szCs w:val="20"/>
                <w:lang w:val="fr-FR" w:eastAsia="fr-FR"/>
              </w:rPr>
            </w:pP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>L’intensification du modernisme et des religions  constituent une menace réelle sur la transmission  de la pratique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364" w:type="dxa"/>
            <w:shd w:val="clear" w:color="auto" w:fill="auto"/>
          </w:tcPr>
          <w:p w:rsidR="005A2FBD" w:rsidRPr="00F879E6" w:rsidRDefault="005A2FBD" w:rsidP="00F06C26">
            <w:pPr>
              <w:spacing w:before="0" w:after="0" w:line="360" w:lineRule="auto"/>
              <w:ind w:left="113" w:right="113"/>
              <w:jc w:val="left"/>
              <w:rPr>
                <w:i/>
                <w:snapToGrid/>
                <w:sz w:val="18"/>
                <w:szCs w:val="18"/>
                <w:lang w:val="fr-FR" w:eastAsia="fr-FR"/>
              </w:rPr>
            </w:pPr>
            <w:r w:rsidRPr="00F879E6">
              <w:rPr>
                <w:i/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5A2FBD" w:rsidRPr="00B038EC" w:rsidRDefault="005A2FBD" w:rsidP="005A2FBD">
            <w:pPr>
              <w:pStyle w:val="Paragraphedeliste"/>
              <w:numPr>
                <w:ilvl w:val="0"/>
                <w:numId w:val="1"/>
              </w:numPr>
              <w:spacing w:before="0" w:after="0" w:line="360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Pour ce rite, la </w:t>
            </w:r>
            <w:r w:rsidRPr="001759D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conservation </w:t>
            </w: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des éléments matériels et </w:t>
            </w: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les </w:t>
            </w: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ressources associés à l’élément ne seront plus visible</w:t>
            </w: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>s</w:t>
            </w: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puisque dans quelques années</w:t>
            </w: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>,</w:t>
            </w: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aucune personne ne pratiquera ce rite et donc aucune possibilité de conservation du matériels y afférents</w:t>
            </w:r>
            <w:r w:rsidRPr="00B038EC">
              <w:rPr>
                <w:snapToGrid/>
                <w:sz w:val="18"/>
                <w:szCs w:val="18"/>
                <w:lang w:val="fr-FR" w:eastAsia="fr-FR"/>
              </w:rPr>
              <w:t xml:space="preserve">. 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5A2FBD" w:rsidRPr="00B038EC" w:rsidRDefault="005A2FBD" w:rsidP="00572D4C">
            <w:pPr>
              <w:pStyle w:val="Paragraphedeliste"/>
              <w:numPr>
                <w:ilvl w:val="0"/>
                <w:numId w:val="1"/>
              </w:numPr>
              <w:spacing w:before="0" w:after="0" w:line="360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Si </w:t>
            </w:r>
            <w:r w:rsidR="00572D4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la communauté s’inscrit dans une logique de </w:t>
            </w:r>
            <w:r w:rsidR="00572D4C" w:rsidRPr="001759D3">
              <w:rPr>
                <w:b/>
                <w:i/>
                <w:snapToGrid/>
                <w:color w:val="FF0000"/>
                <w:sz w:val="20"/>
                <w:szCs w:val="20"/>
                <w:lang w:val="fr-FR" w:eastAsia="fr-FR"/>
              </w:rPr>
              <w:t>conservation</w:t>
            </w:r>
            <w:r w:rsidR="00572D4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des pratiques, elle devrait alors encourager la préservation des forets qui facilitent l'accès aux matières premières pour la réalisation du rite</w:t>
            </w: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, une possibilité de pérennisation de l’action pourrait exister. Des jeunes </w:t>
            </w:r>
            <w:r w:rsidR="00572D4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et </w:t>
            </w: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femmes </w:t>
            </w: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lastRenderedPageBreak/>
              <w:t>commencent à prendre coût aux manifestations. Des actrices de théâtres souhaitent bénéficier de l’appui du patriarche pour une durabilité du rite.</w:t>
            </w:r>
            <w:r w:rsidRPr="00B038EC">
              <w:rPr>
                <w:snapToGrid/>
                <w:sz w:val="18"/>
                <w:szCs w:val="18"/>
                <w:lang w:val="fr-FR" w:eastAsia="fr-FR"/>
              </w:rPr>
              <w:t xml:space="preserve">  </w:t>
            </w:r>
          </w:p>
        </w:tc>
      </w:tr>
      <w:tr w:rsidR="005A2FBD" w:rsidRPr="00D86A23" w:rsidTr="007F43B7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3.5.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5A2FBD" w:rsidRPr="00B038EC" w:rsidRDefault="005A2FBD" w:rsidP="005A2FBD">
            <w:pPr>
              <w:pStyle w:val="Paragraphedeliste"/>
              <w:numPr>
                <w:ilvl w:val="0"/>
                <w:numId w:val="1"/>
              </w:numPr>
              <w:spacing w:before="0" w:after="0" w:line="360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>Intégrer de nouvelles générations dans la pratique du rite. Former ces dernières (femmes et/ou quelques jeunes pour la pérennité de l’action.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F2F2F2"/>
          </w:tcPr>
          <w:p w:rsidR="005A2FBD" w:rsidRPr="00C92ED6" w:rsidRDefault="005A2FBD" w:rsidP="00F06C26">
            <w:pPr>
              <w:spacing w:before="0" w:after="80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364" w:type="dxa"/>
            <w:shd w:val="clear" w:color="auto" w:fill="F2F2F2"/>
          </w:tcPr>
          <w:p w:rsidR="005A2FBD" w:rsidRPr="00543248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43248">
              <w:rPr>
                <w:snapToGrid/>
                <w:sz w:val="18"/>
                <w:szCs w:val="18"/>
                <w:lang w:val="fr-FR" w:eastAsia="fr-FR"/>
              </w:rPr>
              <w:t xml:space="preserve">ACCES RESTREINT AUX DONNEES ET AUTORISATIONS 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48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364" w:type="dxa"/>
            <w:shd w:val="clear" w:color="auto" w:fill="auto"/>
          </w:tcPr>
          <w:p w:rsidR="005A2FBD" w:rsidRPr="00B038EC" w:rsidRDefault="005A2FBD" w:rsidP="00F06C26">
            <w:pPr>
              <w:spacing w:before="0" w:after="0" w:line="360" w:lineRule="auto"/>
              <w:ind w:left="113" w:right="113"/>
              <w:jc w:val="left"/>
              <w:rPr>
                <w:b/>
                <w:i/>
                <w:snapToGrid/>
                <w:sz w:val="20"/>
                <w:szCs w:val="20"/>
                <w:lang w:val="fr-FR" w:eastAsia="fr-FR"/>
              </w:rPr>
            </w:pP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>Consentement et participation de la (des) communauté(s) concernée(s) au recueil des données</w:t>
            </w:r>
          </w:p>
          <w:p w:rsidR="005A2FBD" w:rsidRPr="00B038EC" w:rsidRDefault="005A2FBD" w:rsidP="00572D4C">
            <w:pPr>
              <w:pStyle w:val="Paragraphedeliste"/>
              <w:numPr>
                <w:ilvl w:val="0"/>
                <w:numId w:val="1"/>
              </w:numPr>
              <w:spacing w:before="0" w:after="0" w:line="360" w:lineRule="auto"/>
              <w:ind w:right="113"/>
              <w:jc w:val="left"/>
              <w:rPr>
                <w:b/>
                <w:i/>
                <w:snapToGrid/>
                <w:sz w:val="20"/>
                <w:szCs w:val="20"/>
                <w:lang w:val="fr-FR" w:eastAsia="fr-FR"/>
              </w:rPr>
            </w:pPr>
            <w:r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Consentement sans aucune contrainte </w:t>
            </w:r>
            <w:r w:rsidR="007F43B7" w:rsidRPr="007F43B7">
              <w:rPr>
                <w:b/>
                <w:i/>
                <w:snapToGrid/>
                <w:color w:val="FF0000"/>
                <w:sz w:val="20"/>
                <w:szCs w:val="20"/>
                <w:lang w:val="fr-FR" w:eastAsia="fr-FR"/>
              </w:rPr>
              <w:t>des notables. Leur approbation a été recueillie sur un enregistrement audio disponible au niveau du Centre culturel régional de Kolda.</w:t>
            </w:r>
          </w:p>
        </w:tc>
      </w:tr>
      <w:tr w:rsidR="005A2FBD" w:rsidRPr="00A06BCB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48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  <w:p w:rsidR="005A2FBD" w:rsidRPr="00543248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E2569F">
              <w:rPr>
                <w:b/>
                <w:i/>
                <w:snapToGrid/>
                <w:sz w:val="20"/>
                <w:szCs w:val="20"/>
                <w:lang w:val="fr-FR" w:eastAsia="fr-FR"/>
              </w:rPr>
              <w:t>NEANT</w:t>
            </w:r>
          </w:p>
        </w:tc>
      </w:tr>
      <w:tr w:rsidR="005A2FBD" w:rsidRPr="00A06BCB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48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Personne(s) ressource(s) : nom et statut </w:t>
            </w:r>
          </w:p>
          <w:p w:rsidR="005A2FBD" w:rsidRPr="00B038EC" w:rsidRDefault="00590F67" w:rsidP="005A2FBD">
            <w:pPr>
              <w:pStyle w:val="Paragraphedeliste"/>
              <w:numPr>
                <w:ilvl w:val="0"/>
                <w:numId w:val="1"/>
              </w:numPr>
              <w:spacing w:before="0" w:after="0" w:line="360" w:lineRule="auto"/>
              <w:ind w:right="113"/>
              <w:jc w:val="left"/>
              <w:rPr>
                <w:b/>
                <w:i/>
                <w:snapToGrid/>
                <w:sz w:val="20"/>
                <w:szCs w:val="20"/>
                <w:lang w:val="fr-FR" w:eastAsia="fr-FR"/>
              </w:rPr>
            </w:pP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>Daouda  BALDE</w:t>
            </w:r>
            <w:r w:rsidR="005A2FBD"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Chef de village</w:t>
            </w: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>, Banna BALDE femme peulh,</w:t>
            </w:r>
          </w:p>
          <w:p w:rsidR="005A2FBD" w:rsidRPr="00B038EC" w:rsidRDefault="00590F67" w:rsidP="005A2FBD">
            <w:pPr>
              <w:pStyle w:val="Paragraphedeliste"/>
              <w:numPr>
                <w:ilvl w:val="0"/>
                <w:numId w:val="1"/>
              </w:numPr>
              <w:spacing w:before="0" w:after="0" w:line="360" w:lineRule="auto"/>
              <w:ind w:right="113"/>
              <w:jc w:val="left"/>
              <w:rPr>
                <w:b/>
                <w:i/>
                <w:snapToGrid/>
                <w:sz w:val="20"/>
                <w:szCs w:val="20"/>
                <w:lang w:val="fr-FR" w:eastAsia="fr-FR"/>
              </w:rPr>
            </w:pPr>
            <w:proofErr w:type="spellStart"/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>Agna</w:t>
            </w:r>
            <w:proofErr w:type="spellEnd"/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 BALDE </w:t>
            </w:r>
            <w:r w:rsidR="005A2FBD" w:rsidRPr="00B038EC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Notable</w:t>
            </w: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>, Aminata  SEYDI ?</w:t>
            </w:r>
          </w:p>
          <w:p w:rsidR="005A2FBD" w:rsidRPr="00B038EC" w:rsidRDefault="00590F67" w:rsidP="00590F67">
            <w:pPr>
              <w:pStyle w:val="Paragraphedeliste"/>
              <w:numPr>
                <w:ilvl w:val="0"/>
                <w:numId w:val="1"/>
              </w:numPr>
              <w:spacing w:before="0" w:after="0" w:line="360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Monde  BALDE responsable </w:t>
            </w:r>
            <w:proofErr w:type="spellStart"/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>larogal</w:t>
            </w:r>
            <w:proofErr w:type="spellEnd"/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5A2FBD" w:rsidRPr="00D86A23" w:rsidTr="007F43B7"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5A2FBD" w:rsidRPr="00C92ED6" w:rsidRDefault="005A2FBD" w:rsidP="00F06C26">
            <w:pPr>
              <w:spacing w:before="0" w:after="48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</w:p>
          <w:p w:rsidR="005A2FBD" w:rsidRPr="006F7C83" w:rsidRDefault="005A2FBD" w:rsidP="00590F67">
            <w:pPr>
              <w:pStyle w:val="Paragraphedeliste"/>
              <w:numPr>
                <w:ilvl w:val="0"/>
                <w:numId w:val="10"/>
              </w:numPr>
              <w:spacing w:before="0" w:after="0" w:line="360" w:lineRule="auto"/>
              <w:ind w:right="113"/>
              <w:jc w:val="left"/>
              <w:rPr>
                <w:b/>
                <w:i/>
                <w:snapToGrid/>
                <w:sz w:val="20"/>
                <w:szCs w:val="20"/>
                <w:lang w:val="fr-FR" w:eastAsia="fr-FR"/>
              </w:rPr>
            </w:pPr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Le </w:t>
            </w:r>
            <w:r w:rsidR="00590F67">
              <w:rPr>
                <w:b/>
                <w:i/>
                <w:snapToGrid/>
                <w:sz w:val="20"/>
                <w:szCs w:val="20"/>
                <w:lang w:val="fr-FR" w:eastAsia="fr-FR"/>
              </w:rPr>
              <w:t>24</w:t>
            </w:r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/ 0</w:t>
            </w:r>
            <w:r w:rsidR="00590F67">
              <w:rPr>
                <w:b/>
                <w:i/>
                <w:snapToGrid/>
                <w:sz w:val="20"/>
                <w:szCs w:val="20"/>
                <w:lang w:val="fr-FR" w:eastAsia="fr-FR"/>
              </w:rPr>
              <w:t>4</w:t>
            </w:r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/ 2019  </w:t>
            </w:r>
            <w:proofErr w:type="spellStart"/>
            <w:r w:rsidR="00590F67">
              <w:rPr>
                <w:b/>
                <w:i/>
                <w:snapToGrid/>
                <w:sz w:val="20"/>
                <w:szCs w:val="20"/>
                <w:lang w:val="fr-FR" w:eastAsia="fr-FR"/>
              </w:rPr>
              <w:t>Saré</w:t>
            </w:r>
            <w:proofErr w:type="spellEnd"/>
            <w:r w:rsidR="00590F67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 </w:t>
            </w:r>
            <w:proofErr w:type="spellStart"/>
            <w:r w:rsidR="00590F67">
              <w:rPr>
                <w:b/>
                <w:i/>
                <w:snapToGrid/>
                <w:sz w:val="20"/>
                <w:szCs w:val="20"/>
                <w:lang w:val="fr-FR" w:eastAsia="fr-FR"/>
              </w:rPr>
              <w:t>Samthicka</w:t>
            </w:r>
            <w:proofErr w:type="spellEnd"/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 Commune de </w:t>
            </w:r>
            <w:proofErr w:type="spellStart"/>
            <w:r w:rsidR="00590F67">
              <w:rPr>
                <w:b/>
                <w:i/>
                <w:snapToGrid/>
                <w:sz w:val="20"/>
                <w:szCs w:val="20"/>
                <w:lang w:val="fr-FR" w:eastAsia="fr-FR"/>
              </w:rPr>
              <w:t>Saré</w:t>
            </w:r>
            <w:proofErr w:type="spellEnd"/>
            <w:r w:rsidR="00590F67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 </w:t>
            </w:r>
            <w:proofErr w:type="spellStart"/>
            <w:r w:rsidR="00590F67">
              <w:rPr>
                <w:b/>
                <w:i/>
                <w:snapToGrid/>
                <w:sz w:val="20"/>
                <w:szCs w:val="20"/>
                <w:lang w:val="fr-FR" w:eastAsia="fr-FR"/>
              </w:rPr>
              <w:t>Bidji</w:t>
            </w:r>
            <w:proofErr w:type="spellEnd"/>
          </w:p>
        </w:tc>
      </w:tr>
      <w:tr w:rsidR="005A2FBD" w:rsidRPr="00D86A23" w:rsidTr="007F43B7">
        <w:tc>
          <w:tcPr>
            <w:tcW w:w="1129" w:type="dxa"/>
            <w:shd w:val="clear" w:color="auto" w:fill="F2F2F2"/>
          </w:tcPr>
          <w:p w:rsidR="005A2FBD" w:rsidRPr="00C92ED6" w:rsidRDefault="005A2FBD" w:rsidP="00F06C26">
            <w:pPr>
              <w:spacing w:before="0" w:after="80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364" w:type="dxa"/>
            <w:shd w:val="clear" w:color="auto" w:fill="F2F2F2"/>
          </w:tcPr>
          <w:p w:rsidR="005A2FBD" w:rsidRPr="00543248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43248">
              <w:rPr>
                <w:snapToGrid/>
                <w:sz w:val="18"/>
                <w:szCs w:val="18"/>
                <w:lang w:val="fr-FR" w:eastAsia="fr-FR"/>
              </w:rPr>
              <w:t>REFERENCES RELATIVES A L’ELEMENT DU PCI (LE CAS ECHEANT)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A16589">
              <w:rPr>
                <w:snapToGrid/>
                <w:sz w:val="18"/>
                <w:szCs w:val="18"/>
                <w:lang w:val="fr-FR" w:eastAsia="fr-FR"/>
              </w:rPr>
              <w:t>Monographies / Manuscrits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  <w:p w:rsidR="005A2FBD" w:rsidRPr="00543248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</w:p>
          <w:p w:rsidR="005A2FBD" w:rsidRPr="006F7C83" w:rsidRDefault="005A2FBD" w:rsidP="005A2FBD">
            <w:pPr>
              <w:pStyle w:val="Paragraphedeliste"/>
              <w:numPr>
                <w:ilvl w:val="0"/>
                <w:numId w:val="9"/>
              </w:numPr>
              <w:spacing w:before="0" w:after="0" w:line="360" w:lineRule="auto"/>
              <w:ind w:right="113"/>
              <w:jc w:val="left"/>
              <w:rPr>
                <w:b/>
                <w:i/>
                <w:snapToGrid/>
                <w:sz w:val="20"/>
                <w:szCs w:val="20"/>
                <w:lang w:val="fr-FR" w:eastAsia="fr-FR"/>
              </w:rPr>
            </w:pPr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Etudes, mémoires étudiants, </w:t>
            </w:r>
            <w:r w:rsidR="00590F67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RTS1, </w:t>
            </w:r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>audio centre culturel régional</w:t>
            </w:r>
            <w:r w:rsidR="007F43B7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 de Kolda</w:t>
            </w:r>
          </w:p>
        </w:tc>
      </w:tr>
      <w:tr w:rsidR="005A2FBD" w:rsidRPr="00D86A23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96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O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</w:p>
          <w:p w:rsidR="005A2FBD" w:rsidRPr="006F7C83" w:rsidRDefault="00590F67" w:rsidP="005A2FBD">
            <w:pPr>
              <w:pStyle w:val="Paragraphedeliste"/>
              <w:numPr>
                <w:ilvl w:val="0"/>
                <w:numId w:val="8"/>
              </w:numPr>
              <w:spacing w:before="0" w:after="0" w:line="360" w:lineRule="auto"/>
              <w:ind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Calebasses, cornes, têtes de cynocéphales, etc…. </w:t>
            </w:r>
            <w:r w:rsidR="007F43B7" w:rsidRPr="007F43B7">
              <w:rPr>
                <w:b/>
                <w:i/>
                <w:snapToGrid/>
                <w:color w:val="FF0000"/>
                <w:sz w:val="20"/>
                <w:szCs w:val="20"/>
                <w:lang w:val="fr-FR" w:eastAsia="fr-FR"/>
              </w:rPr>
              <w:t>(préciser le site de conservation)</w:t>
            </w:r>
          </w:p>
        </w:tc>
      </w:tr>
      <w:tr w:rsidR="005A2FBD" w:rsidRPr="00C92ED6" w:rsidTr="007F43B7">
        <w:tc>
          <w:tcPr>
            <w:tcW w:w="1129" w:type="dxa"/>
            <w:shd w:val="clear" w:color="auto" w:fill="F2F2F2"/>
          </w:tcPr>
          <w:p w:rsidR="005A2FBD" w:rsidRPr="00C92ED6" w:rsidRDefault="005A2FBD" w:rsidP="00F06C26">
            <w:pPr>
              <w:spacing w:before="0" w:after="80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364" w:type="dxa"/>
            <w:shd w:val="clear" w:color="auto" w:fill="F2F2F2"/>
          </w:tcPr>
          <w:p w:rsidR="005A2FBD" w:rsidRPr="00543248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43248">
              <w:rPr>
                <w:snapToGrid/>
                <w:sz w:val="18"/>
                <w:szCs w:val="18"/>
                <w:lang w:val="fr-FR" w:eastAsia="fr-FR"/>
              </w:rPr>
              <w:t>Données d’inventaire</w:t>
            </w:r>
          </w:p>
        </w:tc>
      </w:tr>
      <w:tr w:rsidR="005A2FBD" w:rsidRPr="00A06BCB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48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la pe</w:t>
            </w:r>
            <w:r>
              <w:rPr>
                <w:snapToGrid/>
                <w:sz w:val="18"/>
                <w:szCs w:val="18"/>
                <w:lang w:val="fr-FR" w:eastAsia="fr-FR"/>
              </w:rPr>
              <w:t>rsonne(s) ayant compilé les données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de l’inventaire</w:t>
            </w:r>
          </w:p>
          <w:p w:rsidR="007F43B7" w:rsidRDefault="005A2FBD" w:rsidP="00590F67">
            <w:pPr>
              <w:pStyle w:val="Paragraphedeliste"/>
              <w:numPr>
                <w:ilvl w:val="0"/>
                <w:numId w:val="7"/>
              </w:numPr>
              <w:spacing w:before="0" w:after="0" w:line="360" w:lineRule="auto"/>
              <w:ind w:right="113"/>
              <w:jc w:val="left"/>
              <w:rPr>
                <w:b/>
                <w:snapToGrid/>
                <w:sz w:val="20"/>
                <w:szCs w:val="20"/>
                <w:lang w:val="fr-FR" w:eastAsia="fr-FR"/>
              </w:rPr>
            </w:pPr>
            <w:r w:rsidRPr="006F7C83">
              <w:rPr>
                <w:b/>
                <w:snapToGrid/>
                <w:sz w:val="20"/>
                <w:szCs w:val="20"/>
                <w:lang w:val="fr-FR" w:eastAsia="fr-FR"/>
              </w:rPr>
              <w:t xml:space="preserve">Thièdo  BALDE, </w:t>
            </w:r>
          </w:p>
          <w:p w:rsidR="005A2FBD" w:rsidRPr="006F7C83" w:rsidRDefault="00590F67" w:rsidP="00590F67">
            <w:pPr>
              <w:pStyle w:val="Paragraphedeliste"/>
              <w:numPr>
                <w:ilvl w:val="0"/>
                <w:numId w:val="7"/>
              </w:numPr>
              <w:spacing w:before="0" w:after="0" w:line="360" w:lineRule="auto"/>
              <w:ind w:right="113"/>
              <w:jc w:val="left"/>
              <w:rPr>
                <w:b/>
                <w:snapToGrid/>
                <w:sz w:val="20"/>
                <w:szCs w:val="20"/>
                <w:lang w:val="fr-FR" w:eastAsia="fr-FR"/>
              </w:rPr>
            </w:pPr>
            <w:r>
              <w:rPr>
                <w:b/>
                <w:snapToGrid/>
                <w:sz w:val="20"/>
                <w:szCs w:val="20"/>
                <w:lang w:val="fr-FR" w:eastAsia="fr-FR"/>
              </w:rPr>
              <w:t xml:space="preserve">Abdoulaye lamine BALDE, </w:t>
            </w:r>
          </w:p>
        </w:tc>
      </w:tr>
      <w:tr w:rsidR="005A2FBD" w:rsidRPr="00A06BCB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480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543248">
              <w:rPr>
                <w:snapToGrid/>
                <w:sz w:val="18"/>
                <w:szCs w:val="18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5A2FBD" w:rsidRPr="006F7C83" w:rsidRDefault="005A2FBD" w:rsidP="005A2FBD">
            <w:pPr>
              <w:pStyle w:val="Paragraphedeliste"/>
              <w:numPr>
                <w:ilvl w:val="0"/>
                <w:numId w:val="6"/>
              </w:numPr>
              <w:spacing w:before="0" w:after="0" w:line="360" w:lineRule="auto"/>
              <w:ind w:right="113"/>
              <w:jc w:val="left"/>
              <w:rPr>
                <w:b/>
                <w:i/>
                <w:snapToGrid/>
                <w:sz w:val="20"/>
                <w:szCs w:val="20"/>
                <w:lang w:val="fr-FR" w:eastAsia="fr-FR"/>
              </w:rPr>
            </w:pPr>
            <w:r w:rsidRPr="006F7C83">
              <w:rPr>
                <w:b/>
                <w:i/>
                <w:snapToGrid/>
                <w:sz w:val="20"/>
                <w:szCs w:val="20"/>
                <w:lang w:val="fr-FR" w:eastAsia="fr-FR"/>
              </w:rPr>
              <w:t xml:space="preserve">Signature  du consentement </w:t>
            </w:r>
          </w:p>
        </w:tc>
      </w:tr>
      <w:tr w:rsidR="005A2FBD" w:rsidRPr="00A06BCB" w:rsidTr="007F43B7">
        <w:tc>
          <w:tcPr>
            <w:tcW w:w="1129" w:type="dxa"/>
            <w:shd w:val="clear" w:color="auto" w:fill="auto"/>
          </w:tcPr>
          <w:p w:rsidR="005A2FBD" w:rsidRPr="00C92ED6" w:rsidRDefault="005A2FBD" w:rsidP="00F06C26">
            <w:pPr>
              <w:spacing w:before="0" w:after="48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364" w:type="dxa"/>
            <w:shd w:val="clear" w:color="auto" w:fill="auto"/>
          </w:tcPr>
          <w:p w:rsidR="005A2FBD" w:rsidRDefault="005A2FBD" w:rsidP="00F06C26">
            <w:pPr>
              <w:spacing w:before="0" w:after="0" w:line="360" w:lineRule="auto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  <w:p w:rsidR="005A2FBD" w:rsidRPr="006F7C83" w:rsidRDefault="00590F67" w:rsidP="00590F67">
            <w:pPr>
              <w:pStyle w:val="Paragraphedeliste"/>
              <w:numPr>
                <w:ilvl w:val="0"/>
                <w:numId w:val="5"/>
              </w:numPr>
              <w:spacing w:before="0" w:after="0" w:line="360" w:lineRule="auto"/>
              <w:ind w:right="113"/>
              <w:jc w:val="left"/>
              <w:rPr>
                <w:b/>
                <w:snapToGrid/>
                <w:sz w:val="20"/>
                <w:szCs w:val="20"/>
                <w:lang w:val="fr-FR" w:eastAsia="fr-FR"/>
              </w:rPr>
            </w:pPr>
            <w:r>
              <w:rPr>
                <w:b/>
                <w:snapToGrid/>
                <w:sz w:val="20"/>
                <w:szCs w:val="20"/>
                <w:lang w:val="fr-FR" w:eastAsia="fr-FR"/>
              </w:rPr>
              <w:t>24</w:t>
            </w:r>
            <w:r w:rsidR="005A2FBD" w:rsidRPr="006F7C83">
              <w:rPr>
                <w:b/>
                <w:snapToGrid/>
                <w:sz w:val="20"/>
                <w:szCs w:val="20"/>
                <w:lang w:val="fr-FR" w:eastAsia="fr-FR"/>
              </w:rPr>
              <w:t xml:space="preserve">  / 0</w:t>
            </w:r>
            <w:r>
              <w:rPr>
                <w:b/>
                <w:snapToGrid/>
                <w:sz w:val="20"/>
                <w:szCs w:val="20"/>
                <w:lang w:val="fr-FR" w:eastAsia="fr-FR"/>
              </w:rPr>
              <w:t>4</w:t>
            </w:r>
            <w:r w:rsidR="005A2FBD" w:rsidRPr="006F7C83">
              <w:rPr>
                <w:b/>
                <w:snapToGrid/>
                <w:sz w:val="20"/>
                <w:szCs w:val="20"/>
                <w:lang w:val="fr-FR" w:eastAsia="fr-FR"/>
              </w:rPr>
              <w:t xml:space="preserve"> /  2019</w:t>
            </w:r>
          </w:p>
        </w:tc>
      </w:tr>
    </w:tbl>
    <w:p w:rsidR="005A2FBD" w:rsidRPr="00A31579" w:rsidRDefault="005A2FBD" w:rsidP="005A2FBD">
      <w:pPr>
        <w:pStyle w:val="Texte1"/>
      </w:pPr>
    </w:p>
    <w:p w:rsidR="005A2FBD" w:rsidRDefault="005A2FBD" w:rsidP="005A2FBD"/>
    <w:p w:rsidR="00E25CFE" w:rsidRDefault="00E25CFE"/>
    <w:sectPr w:rsidR="00E25CFE" w:rsidSect="00484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760" w:rsidRDefault="009D3760">
      <w:pPr>
        <w:spacing w:before="0" w:after="0"/>
      </w:pPr>
      <w:r>
        <w:separator/>
      </w:r>
    </w:p>
  </w:endnote>
  <w:endnote w:type="continuationSeparator" w:id="0">
    <w:p w:rsidR="009D3760" w:rsidRDefault="009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69" w:rsidRPr="00E948A2" w:rsidRDefault="009D3760" w:rsidP="00484969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69" w:rsidRPr="00342E35" w:rsidRDefault="001E6F26" w:rsidP="00484969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69" w:rsidRPr="00342E35" w:rsidRDefault="009D3760" w:rsidP="00484969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760" w:rsidRDefault="009D3760">
      <w:pPr>
        <w:spacing w:before="0" w:after="0"/>
      </w:pPr>
      <w:r>
        <w:separator/>
      </w:r>
    </w:p>
  </w:footnote>
  <w:footnote w:type="continuationSeparator" w:id="0">
    <w:p w:rsidR="009D3760" w:rsidRDefault="009D37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69" w:rsidRPr="00342E35" w:rsidRDefault="001E6F26" w:rsidP="00484969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69" w:rsidRPr="00342E35" w:rsidRDefault="001E6F26" w:rsidP="00484969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D86A23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969" w:rsidRPr="005732C3" w:rsidRDefault="001E6F26" w:rsidP="00484969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72C3"/>
    <w:multiLevelType w:val="hybridMultilevel"/>
    <w:tmpl w:val="0C1CD73C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39778CE"/>
    <w:multiLevelType w:val="hybridMultilevel"/>
    <w:tmpl w:val="8B7A3116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C9C6431"/>
    <w:multiLevelType w:val="hybridMultilevel"/>
    <w:tmpl w:val="A4EC8734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23AF3341"/>
    <w:multiLevelType w:val="hybridMultilevel"/>
    <w:tmpl w:val="1C740ADA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34136B47"/>
    <w:multiLevelType w:val="hybridMultilevel"/>
    <w:tmpl w:val="0D303EF0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370619EF"/>
    <w:multiLevelType w:val="hybridMultilevel"/>
    <w:tmpl w:val="19B24300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439B49AE"/>
    <w:multiLevelType w:val="hybridMultilevel"/>
    <w:tmpl w:val="AD10CB36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48C56171"/>
    <w:multiLevelType w:val="hybridMultilevel"/>
    <w:tmpl w:val="FD9CFED6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55045252"/>
    <w:multiLevelType w:val="hybridMultilevel"/>
    <w:tmpl w:val="D62CE2DC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56571B3A"/>
    <w:multiLevelType w:val="hybridMultilevel"/>
    <w:tmpl w:val="70E2EEBC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5964091F"/>
    <w:multiLevelType w:val="hybridMultilevel"/>
    <w:tmpl w:val="1E180578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6F87588E"/>
    <w:multiLevelType w:val="hybridMultilevel"/>
    <w:tmpl w:val="074A1EF2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745E792E"/>
    <w:multiLevelType w:val="hybridMultilevel"/>
    <w:tmpl w:val="35E4D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B2AF3"/>
    <w:multiLevelType w:val="hybridMultilevel"/>
    <w:tmpl w:val="074A054E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7E8E6F5A"/>
    <w:multiLevelType w:val="hybridMultilevel"/>
    <w:tmpl w:val="57769C6C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4"/>
  </w:num>
  <w:num w:numId="5">
    <w:abstractNumId w:val="11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BD"/>
    <w:rsid w:val="001759D3"/>
    <w:rsid w:val="001E6F26"/>
    <w:rsid w:val="002708FA"/>
    <w:rsid w:val="003E13D0"/>
    <w:rsid w:val="005465AB"/>
    <w:rsid w:val="00572D4C"/>
    <w:rsid w:val="00574B44"/>
    <w:rsid w:val="00590F67"/>
    <w:rsid w:val="005A2FBD"/>
    <w:rsid w:val="00720C82"/>
    <w:rsid w:val="007F43B7"/>
    <w:rsid w:val="009D3760"/>
    <w:rsid w:val="00A06AF4"/>
    <w:rsid w:val="00AC2802"/>
    <w:rsid w:val="00B311C3"/>
    <w:rsid w:val="00C170F9"/>
    <w:rsid w:val="00C4517B"/>
    <w:rsid w:val="00CD57A4"/>
    <w:rsid w:val="00D86A23"/>
    <w:rsid w:val="00E25CFE"/>
    <w:rsid w:val="00EF0CC0"/>
    <w:rsid w:val="00F00E2C"/>
    <w:rsid w:val="00F14559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B46FB-3FB8-4E85-89DE-1E82199D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FBD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5A2FBD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A2FBD"/>
    <w:rPr>
      <w:rFonts w:ascii="Arial" w:eastAsiaTheme="majorEastAsia" w:hAnsi="Arial" w:cstheme="majorBidi"/>
      <w:b/>
      <w:caps/>
      <w:sz w:val="20"/>
    </w:rPr>
  </w:style>
  <w:style w:type="paragraph" w:styleId="Paragraphedeliste">
    <w:name w:val="List Paragraph"/>
    <w:basedOn w:val="Normal"/>
    <w:uiPriority w:val="34"/>
    <w:qFormat/>
    <w:rsid w:val="005A2FBD"/>
    <w:pPr>
      <w:ind w:left="720"/>
    </w:pPr>
  </w:style>
  <w:style w:type="paragraph" w:customStyle="1" w:styleId="Texte1">
    <w:name w:val="Texte1"/>
    <w:basedOn w:val="Normal"/>
    <w:link w:val="Texte1Car"/>
    <w:rsid w:val="005A2FBD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5A2FBD"/>
    <w:rPr>
      <w:rFonts w:ascii="Arial" w:eastAsia="SimSun" w:hAnsi="Arial" w:cs="Arial"/>
      <w:sz w:val="20"/>
      <w:szCs w:val="24"/>
      <w:lang w:eastAsia="zh-CN"/>
    </w:rPr>
  </w:style>
  <w:style w:type="paragraph" w:customStyle="1" w:styleId="Tabtxt">
    <w:name w:val="Tabtxt"/>
    <w:basedOn w:val="Normal"/>
    <w:rsid w:val="005A2FBD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Thiedo BALDE</dc:creator>
  <cp:keywords/>
  <dc:description/>
  <cp:lastModifiedBy>GUISSE</cp:lastModifiedBy>
  <cp:revision>10</cp:revision>
  <dcterms:created xsi:type="dcterms:W3CDTF">2019-06-11T21:49:00Z</dcterms:created>
  <dcterms:modified xsi:type="dcterms:W3CDTF">2020-10-11T16:53:00Z</dcterms:modified>
</cp:coreProperties>
</file>