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9C" w:rsidRDefault="00A30737">
      <w:pPr>
        <w:pStyle w:val="Titre4"/>
        <w:rPr>
          <w:smallCaps w:val="0"/>
          <w:color w:val="00B050"/>
          <w:sz w:val="36"/>
          <w:szCs w:val="36"/>
        </w:rPr>
      </w:pPr>
      <w:bookmarkStart w:id="0" w:name="_GoBack"/>
      <w:bookmarkEnd w:id="0"/>
      <w:r>
        <w:rPr>
          <w:smallCaps w:val="0"/>
          <w:color w:val="00B050"/>
          <w:sz w:val="36"/>
          <w:szCs w:val="36"/>
        </w:rPr>
        <w:t>FICHE TYPE D’INVENTAIRE DU PCI</w:t>
      </w:r>
    </w:p>
    <w:p w:rsidR="003E0A9C" w:rsidRDefault="00A3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REGION</w:t>
      </w:r>
      <w:r>
        <w:rPr>
          <w:color w:val="000000"/>
        </w:rPr>
        <w:t xml:space="preserve"> : </w:t>
      </w:r>
      <w:r>
        <w:rPr>
          <w:color w:val="00B050"/>
        </w:rPr>
        <w:t>SD</w:t>
      </w:r>
    </w:p>
    <w:p w:rsidR="003E0A9C" w:rsidRDefault="00A3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DEPARTEMENT</w:t>
      </w:r>
      <w:r>
        <w:rPr>
          <w:color w:val="000000"/>
        </w:rPr>
        <w:t xml:space="preserve"> : </w:t>
      </w:r>
      <w:r>
        <w:rPr>
          <w:color w:val="00B050"/>
        </w:rPr>
        <w:t>SDH</w:t>
      </w:r>
    </w:p>
    <w:p w:rsidR="003E0A9C" w:rsidRDefault="00A307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B050"/>
        </w:rPr>
      </w:pPr>
      <w:r>
        <w:rPr>
          <w:b/>
          <w:color w:val="000000"/>
        </w:rPr>
        <w:t>NUMERO DE LA FICHE</w:t>
      </w:r>
      <w:r>
        <w:rPr>
          <w:color w:val="000000"/>
        </w:rPr>
        <w:t xml:space="preserve"> : </w:t>
      </w:r>
      <w:r>
        <w:rPr>
          <w:color w:val="00B050"/>
        </w:rPr>
        <w:t>SNSD12SDHPCI_004_2019</w:t>
      </w:r>
    </w:p>
    <w:p w:rsidR="003E0A9C" w:rsidRDefault="003E0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390"/>
      </w:tblGrid>
      <w:tr w:rsidR="003E0A9C">
        <w:tc>
          <w:tcPr>
            <w:tcW w:w="672" w:type="dxa"/>
          </w:tcPr>
          <w:p w:rsidR="003E0A9C" w:rsidRDefault="00A30737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90" w:type="dxa"/>
          </w:tcPr>
          <w:p w:rsidR="003E0A9C" w:rsidRDefault="00A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 w:after="80"/>
              <w:ind w:left="113" w:hanging="567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4"/>
                <w:szCs w:val="24"/>
              </w:rPr>
              <w:t>IDENTIFICATION DE L’ÉLÉMENT DU PCI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390" w:type="dxa"/>
          </w:tcPr>
          <w:p w:rsidR="003E0A9C" w:rsidRDefault="00A30737">
            <w:pPr>
              <w:spacing w:before="8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de l’élément du PCI tel qu’il est employé par la communauté concernée</w:t>
            </w:r>
          </w:p>
          <w:p w:rsidR="003E0A9C" w:rsidRDefault="00A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NDIOCKTA : danse  des guerriers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390" w:type="dxa"/>
          </w:tcPr>
          <w:p w:rsidR="003E0A9C" w:rsidRDefault="00A30737">
            <w:pPr>
              <w:spacing w:before="8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Titre de l’élément du PCI ‒ avec indication du (des) domaine(s) du PCI concerné(s)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pratiques sociales, rituels et événements festifs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arts du spectacle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/>
              <w:rPr>
                <w:smallCaps/>
                <w:color w:val="00B05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connaissances et pratiques concernant la nature et l’univers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Communauté(s) concernée(s)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Emplacement(s) physique(s)/répartition et fréquence de la pratique de l’élément du PCI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NDIOCKTA est une danse dédiée aux guerriers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. Elle s’exécute dans la région de Sédhiou plus particulièrement dans le département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Goudomp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communément appelé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balantacounda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(les villages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Simbandi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Niafor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Diattacounda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,…). Les co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mmunautés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sont implantées dans les pays frontaliers au sud du Sénégal,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 pratique également dans ces pays tels que la Guinée Bissau, la Gambie…Cette danse est exclusivement accompagnée par le balafon.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390" w:type="dxa"/>
          </w:tcPr>
          <w:p w:rsidR="003E0A9C" w:rsidRDefault="003E0A9C">
            <w:pPr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Brève description de l’élément du PCI (de préférence pas plus de 200 mots) 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Au cours de leurs migrations, 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venus de l’Est de l’Afrique se sont installés en Guinée Bissau, puis en Casamance et en Gambie. Pour avoir plus de terres arables, ils s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 sont insurgés contre les populations autochtones qui sont 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baïnounk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Avant d’aller aux combats, les guerriers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 organisaient des séances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danse épique très mouvementée qui sert à les galvaniser.  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En prélude de la danse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l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es guerriers amorcent une danse appelée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nguer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 C’est une forme de mise en jambes qui consiste à faire de petites démonstrations.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est une danse exclusivement réservée aux hommes et pas n’importe quel homme. Il s’agit d’hommes de courage, d’abnégati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on et prêts à affronter tout obstacle qui se dresse devant eux ou devant leur communauté. 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A travers des pas de danse rythmés aux notes exclusivement du balafon, le guerrier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habillé de sa tenue de combat et équipé de son arsenal de guerre composé d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’un fusil, d’une lance, d’une machette, d’un arc, d’une flèche et d’un bâton, exécute des clefs de danse dont lui seul a le secret ou le code. Ainsi, chaque guerrier a sa partition et son style de danse personnels.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 griot joueur de balafon faisait les él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oges des guerriers avec des paroles et des notes. Pour danser le morceau d’autrui, il fallait demander une autorisation spéciale auprès de l’auteur à travers un rituel consistant à lui offrir une calebasse de vin.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vieilles femmes ont leurs partitions à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jouer dans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. Elles avaient la lourde charge mystique de choisir les hommes qui devraient aller au front. Ce sont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lastRenderedPageBreak/>
              <w:t xml:space="preserve">elles qui jouaient également les claquettes, qui accompagnent les notes de balafon et rythment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3E0A9C" w:rsidRDefault="00A30737">
            <w:pPr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De no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 jours,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est en déperdition. Elle est même sortie de son contexte originel.</w:t>
            </w:r>
          </w:p>
          <w:p w:rsidR="003E0A9C" w:rsidRDefault="003E0A9C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CARACTÉRISTIQUES DE L’ÉLÉMENT DU PCI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90" w:type="dxa"/>
          </w:tcPr>
          <w:p w:rsidR="003E0A9C" w:rsidRDefault="00A3073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Bourama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MANE dit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Mambéna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+70 ans  griot, joueur de balafon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Niafor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dans le département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Goudomp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région de Sédhiou.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Ses enfants 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Dembo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seydou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Famara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Mané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malamine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Mané</w:t>
            </w:r>
            <w:proofErr w:type="spellEnd"/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Son neveu : Edouard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Sadio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danseur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femmes : battent les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claquettes et choisissent les guerriers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Les guerriers : dansent 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et vont aux combats</w:t>
            </w:r>
          </w:p>
          <w:p w:rsidR="003E0A9C" w:rsidRDefault="003E0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90" w:type="dxa"/>
          </w:tcPr>
          <w:p w:rsidR="003E0A9C" w:rsidRDefault="00A30737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Autres Personnes De La Communauté Qui, Sans Etre Directement Impliquées, Contribuent A La Pratique De L’élément Ou En Facilitent La Pratique Ou La Transmission (Préparation De La Scène, Costumes, Formation, Supervision)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 Groupe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Njaama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Naaba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Qui Conserve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Ce Patrimoine A Travers Son Répertoire Musical.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Troupe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Pobar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Wassou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Qui Perpétue Ce Patrimoine A Travers Leur Répertoire De Danse 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113"/>
              <w:rPr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Association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Gandhia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sauvegarde cette danse à travers des cérémonies culturelles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Langue(s) ou registre(s) de langue utilisée(s)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</w:t>
            </w:r>
            <w:proofErr w:type="spellEnd"/>
          </w:p>
          <w:p w:rsidR="003E0A9C" w:rsidRDefault="003E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 balafon : régule l’entrée de chaque danseur/guerrier et rythme ses pas de danse et gestes.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120" w:after="120"/>
              <w:jc w:val="both"/>
              <w:rPr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Les claquettes : accompagnent les notes de balafon et rythment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Fusil, lance, machette, arc, flèche, bâton : armes que brandissent les guerriers au moment de la danse</w:t>
            </w:r>
          </w:p>
          <w:p w:rsidR="003E0A9C" w:rsidRDefault="003E0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</w:p>
          <w:p w:rsidR="003E0A9C" w:rsidRDefault="00A3073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Calebasse de vin pour demander une autorisation préalable avant de danser le morceau de quelqu’un d’autre.</w:t>
            </w:r>
          </w:p>
          <w:p w:rsidR="003E0A9C" w:rsidRDefault="003E0A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Autres éléments immatériels (le cas échéant) associés à la pratique ou à la transmission de l’élément du PCI</w:t>
            </w:r>
          </w:p>
          <w:p w:rsidR="003E0A9C" w:rsidRDefault="00A307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 parole : elle sert à galvaniser les guerriers-danseurs</w:t>
            </w:r>
          </w:p>
          <w:p w:rsidR="003E0A9C" w:rsidRDefault="00A307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notes de musique : appellent le guerrier et spécifient la partition de chaque danseur</w:t>
            </w:r>
          </w:p>
          <w:p w:rsidR="003E0A9C" w:rsidRDefault="00A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Pratiques Coutumières (Le Cas Echéant) Régissant L’accès A L’élément Du PCI Ou A Certains De Ses Aspects</w:t>
            </w:r>
          </w:p>
          <w:p w:rsidR="003E0A9C" w:rsidRDefault="00A307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Libations effectuées avant la danse</w:t>
            </w:r>
          </w:p>
          <w:p w:rsidR="003E0A9C" w:rsidRDefault="00A3073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Calebasse de vin à offrir avant d’exécuter la partition d’autrui</w:t>
            </w:r>
          </w:p>
        </w:tc>
      </w:tr>
      <w:tr w:rsidR="003E0A9C">
        <w:trPr>
          <w:trHeight w:val="1420"/>
        </w:trPr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Modes de transmission aux autres membres de la communauté</w:t>
            </w:r>
          </w:p>
          <w:p w:rsidR="003E0A9C" w:rsidRDefault="00A307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transmission de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se fait dans un cadre communautaire par les dépositaires de ce savoir et de génération en génération. </w:t>
            </w:r>
          </w:p>
          <w:p w:rsidR="003E0A9C" w:rsidRDefault="00A307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jc w:val="both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De nos jours,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dépasse le simple cadre car relayée par les formations musicales et les ballets de danse.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Organisations Concernées (Organisations Communautaires, ONG Ou Autres, Le Cas Echéant)</w:t>
            </w:r>
          </w:p>
          <w:p w:rsidR="003E0A9C" w:rsidRDefault="00A307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Le Groupe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Njaama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Naaba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(musique)</w:t>
            </w:r>
          </w:p>
          <w:p w:rsidR="003E0A9C" w:rsidRDefault="00A307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troupe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Pobar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Wassou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(danse)</w:t>
            </w:r>
          </w:p>
          <w:p w:rsidR="003E0A9C" w:rsidRDefault="00A307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L’association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Gandhia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(cérémonies culturelles et artistiques)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ÉTAT DE L’ÉLÉMENT DU PCI : VIABILITÉ (VOIR COMMENTAIRES CI-APRÈS)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90" w:type="dxa"/>
          </w:tcPr>
          <w:p w:rsidR="003E0A9C" w:rsidRDefault="00A30737">
            <w:pPr>
              <w:ind w:left="113" w:right="5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Menaces éventuelles sur la pratique permanente de l’élément dans la (les) communauté(s) concernée(s)</w:t>
            </w:r>
          </w:p>
          <w:p w:rsidR="003E0A9C" w:rsidRDefault="00A307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déstructuration des cadres de transmission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(plus de guerre entre les communautés)</w:t>
            </w:r>
          </w:p>
          <w:p w:rsidR="003E0A9C" w:rsidRDefault="00A307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 vieillissement et la disparition des dépositaires de ce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t élément</w:t>
            </w:r>
          </w:p>
          <w:p w:rsidR="003E0A9C" w:rsidRDefault="00A307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démobilisation de la communauté autour du balafon, élément central dans l’exécution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3E0A9C" w:rsidRDefault="00A3073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L’utilisation abusive des moyens modernes (sonorisation avec orchestre, tam-tam..) dans les cérémonies comme le baptême, le mariage, la circoncisi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on.</w:t>
            </w:r>
          </w:p>
          <w:p w:rsidR="003E0A9C" w:rsidRDefault="00A307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 rareté des éléments constitutifs du balafon</w:t>
            </w:r>
            <w:r>
              <w:rPr>
                <w:rFonts w:ascii="Times New Roman" w:eastAsia="Times New Roman" w:hAnsi="Times New Roman" w:cs="Times New Roman"/>
                <w:b/>
                <w:color w:val="538135"/>
                <w:sz w:val="24"/>
                <w:szCs w:val="24"/>
              </w:rPr>
              <w:t xml:space="preserve">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Menaces éventuelles sur la transmission de l’élément dans la (les) communauté(s) concernée(s)</w:t>
            </w:r>
          </w:p>
          <w:p w:rsidR="003E0A9C" w:rsidRDefault="00A307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déstructuration des cadres de transmission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(plus de guerre entre les communautés)</w:t>
            </w:r>
          </w:p>
          <w:p w:rsidR="003E0A9C" w:rsidRDefault="00A307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Désintéressement des jeunes pour la danse   </w:t>
            </w:r>
            <w:r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</w:rPr>
              <w:t xml:space="preserve">  </w:t>
            </w:r>
          </w:p>
          <w:p w:rsidR="003E0A9C" w:rsidRDefault="00A307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 vieillissement et la disparition des dépositaires de cet élément</w:t>
            </w:r>
          </w:p>
          <w:p w:rsidR="003E0A9C" w:rsidRDefault="003E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Menaces pesant sur un accès durable aux éléments matériels et aux ressources (le cas échéant) associés à l’élément du PCI</w:t>
            </w:r>
          </w:p>
          <w:p w:rsidR="003E0A9C" w:rsidRDefault="00A307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left="473" w:hanging="720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La raréfaction des matériaux de fabrication tels que le bois pour la confection de l’arc, le bois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et le bambou pour la réalisation du balafon, et les objets forgés pour la lance et la flèche.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Viabilité des autres éléments du patrimoine immatér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iel (le cas échéant) associés à l’élément du PCI</w:t>
            </w:r>
          </w:p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 éléments ci-dessous peuvent toujours être viabilisés :</w:t>
            </w:r>
          </w:p>
          <w:p w:rsidR="003E0A9C" w:rsidRDefault="00A307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La parole pourrait être dite dans des cérémonies festives comme la lutte, la circoncision…</w:t>
            </w:r>
          </w:p>
          <w:p w:rsidR="003E0A9C" w:rsidRDefault="00A307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Les notes de musique pourraient être exécutées pour le folklore</w:t>
            </w:r>
          </w:p>
          <w:p w:rsidR="003E0A9C" w:rsidRDefault="003E0A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color w:val="00B050"/>
                <w:sz w:val="24"/>
                <w:szCs w:val="24"/>
              </w:rPr>
            </w:pPr>
          </w:p>
          <w:p w:rsidR="003E0A9C" w:rsidRDefault="003E0A9C">
            <w:pPr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8390" w:type="dxa"/>
          </w:tcPr>
          <w:p w:rsidR="003E0A9C" w:rsidRDefault="00A30737">
            <w:pPr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Sensibiliser les jeunes à la sauvegarde de cet élément par la formation théorique et pratique du processus de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Intégrer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dans les ballets afin de susciter des vocations au niveau de la jeune génération.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Animer des séan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ces de ‘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’ au profit des jeunes pour une meilleure et durable appropriation de cet élément.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ind w:right="57"/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Organiser des festivals, des journées culturelles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balantes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pour revaloriser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ACCES RESTREINT AUX DONNEES ET AUTORISATIONS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Consentement et participation de la (des) communauté(s) concernée(s) au recueil des données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Oui car la démarche a consisté à une sensibilisation de la communauté sur le but visé par l’inventaire qui est de trouver ensemble les voies et moyens de sauvegarde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r la danse du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Restrictions et autorisations concernant les données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Non, aucune restriction ni autorisation préalable demandée par la communauté car le but visé par cet inventaire a été largement partagé est validé d’un commun accord.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Personne(s) ressource(s) : nom et statut </w:t>
            </w:r>
          </w:p>
          <w:p w:rsidR="003E0A9C" w:rsidRDefault="00A307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Bourama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MANE dit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Mambena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, joueur de balafon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Niafor</w:t>
            </w:r>
            <w:proofErr w:type="spellEnd"/>
          </w:p>
          <w:p w:rsidR="003E0A9C" w:rsidRDefault="00A307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Edouard SADIO, danseur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ndiockta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Diattacounda</w:t>
            </w:r>
            <w:proofErr w:type="spellEnd"/>
          </w:p>
          <w:p w:rsidR="003E0A9C" w:rsidRDefault="00A3073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Malamine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MANE, fils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Mambéna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et Professeur de musique à Ziguinchor</w:t>
            </w:r>
          </w:p>
          <w:p w:rsidR="003E0A9C" w:rsidRDefault="003E0A9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480"/>
              <w:ind w:left="113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Date(s) et lieu(x) de recueil des données</w:t>
            </w:r>
          </w:p>
          <w:p w:rsidR="003E0A9C" w:rsidRDefault="00A30737">
            <w:pPr>
              <w:spacing w:before="80" w:after="4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28 AVRIL 2019 à 10h à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Niafor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chez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Bourama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MANE dit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Mambéna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RÉFÉRENCES RELATIVES À L’ÉLÉMENT DU PCI (LE CAS ÉCHÉANT)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96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Monographies / Manuscrits conservés dans des bibliothèques, librairies ou détenus par des particuliers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960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Enregistrements audiovisuels conservés dans des archives, musées et collections privées (le cas échéant)</w:t>
            </w:r>
          </w:p>
          <w:p w:rsidR="003E0A9C" w:rsidRDefault="00A30737">
            <w:pPr>
              <w:spacing w:before="80" w:after="960"/>
              <w:ind w:left="113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Enregistrements vidéo et audio disponibles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au centre culturel 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96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960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Objets conservés dans des archives, musées et collections privées (le cas échéant)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8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80"/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DONNÉES D’INVENTAIRE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 et contacts de la personne(s) ayant compilé les données de l’inventaire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Ibrahima NDIAYE  77 626 58 02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Sanou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Konaté  77 616 45 80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Mamady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DABO   77 706 40 19</w:t>
            </w:r>
          </w:p>
          <w:p w:rsidR="003E0A9C" w:rsidRDefault="00A3073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b/>
                <w:smallCaps/>
                <w:color w:val="53813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AliouKéba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BADIANE  77 318 17 17</w:t>
            </w: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90" w:type="dxa"/>
          </w:tcPr>
          <w:p w:rsidR="003E0A9C" w:rsidRDefault="00A30737">
            <w:pPr>
              <w:spacing w:before="80" w:after="480"/>
              <w:ind w:left="11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Preuve du consentement de la (des) communauté(s) concernée(s) : (a) pour l’inventaire de l’élément et (b) pour l’information à inclure dans l’inventaire </w:t>
            </w:r>
          </w:p>
          <w:p w:rsidR="003E0A9C" w:rsidRDefault="00A30737">
            <w:pPr>
              <w:spacing w:before="80" w:after="480"/>
              <w:ind w:left="113" w:right="57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Nous avons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différents supports (photos,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audios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, vidéos) qui prouvent le consentement de la communauté.</w:t>
            </w:r>
          </w:p>
          <w:p w:rsidR="003E0A9C" w:rsidRDefault="003E0A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80" w:after="480"/>
              <w:ind w:left="833" w:right="57" w:hanging="720"/>
              <w:jc w:val="both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</w:p>
        </w:tc>
      </w:tr>
      <w:tr w:rsidR="003E0A9C">
        <w:tc>
          <w:tcPr>
            <w:tcW w:w="672" w:type="dxa"/>
          </w:tcPr>
          <w:p w:rsidR="003E0A9C" w:rsidRDefault="00A30737">
            <w:pPr>
              <w:spacing w:before="80" w:after="480"/>
              <w:jc w:val="right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390" w:type="dxa"/>
          </w:tcPr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d’enregistrement des données à l’inventaire</w:t>
            </w:r>
          </w:p>
          <w:p w:rsidR="003E0A9C" w:rsidRDefault="00A30737">
            <w:pPr>
              <w:ind w:left="113"/>
              <w:rPr>
                <w:rFonts w:ascii="Times New Roman" w:eastAsia="Times New Roman" w:hAnsi="Times New Roman" w:cs="Times New Roman"/>
                <w:b/>
                <w:smallCaps/>
                <w:color w:val="5381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11 mai 2019</w:t>
            </w:r>
          </w:p>
        </w:tc>
      </w:tr>
    </w:tbl>
    <w:p w:rsidR="003E0A9C" w:rsidRDefault="003E0A9C">
      <w:pPr>
        <w:rPr>
          <w:rFonts w:ascii="Times New Roman" w:eastAsia="Times New Roman" w:hAnsi="Times New Roman" w:cs="Times New Roman"/>
          <w:color w:val="538135"/>
          <w:sz w:val="24"/>
          <w:szCs w:val="24"/>
        </w:rPr>
      </w:pPr>
    </w:p>
    <w:p w:rsidR="003E0A9C" w:rsidRDefault="003E0A9C"/>
    <w:sectPr w:rsidR="003E0A9C">
      <w:pgSz w:w="11906" w:h="16838"/>
      <w:pgMar w:top="1134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56EE"/>
    <w:multiLevelType w:val="multilevel"/>
    <w:tmpl w:val="6BD407D2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9D4AF8"/>
    <w:multiLevelType w:val="multilevel"/>
    <w:tmpl w:val="BB2AD724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DB3C17"/>
    <w:multiLevelType w:val="multilevel"/>
    <w:tmpl w:val="0016C9F6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5C3743"/>
    <w:multiLevelType w:val="multilevel"/>
    <w:tmpl w:val="AA7CFA0E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7B24C7"/>
    <w:multiLevelType w:val="multilevel"/>
    <w:tmpl w:val="47AE6A8A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AC27D06"/>
    <w:multiLevelType w:val="multilevel"/>
    <w:tmpl w:val="352424DA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7A0F3F"/>
    <w:multiLevelType w:val="multilevel"/>
    <w:tmpl w:val="24E6F698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3AC61D3"/>
    <w:multiLevelType w:val="multilevel"/>
    <w:tmpl w:val="622211E2"/>
    <w:lvl w:ilvl="0">
      <w:start w:val="1"/>
      <w:numFmt w:val="bullet"/>
      <w:lvlText w:val="⮚"/>
      <w:lvlJc w:val="left"/>
      <w:pPr>
        <w:ind w:left="4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33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9C"/>
    <w:rsid w:val="003E0A9C"/>
    <w:rsid w:val="00A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9FD94-BE5F-4127-A0D5-631BB1CB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360" w:after="120" w:line="300" w:lineRule="auto"/>
      <w:outlineLvl w:val="3"/>
    </w:pPr>
    <w:rPr>
      <w:rFonts w:ascii="Arial" w:eastAsia="Arial" w:hAnsi="Arial" w:cs="Arial"/>
      <w:b/>
      <w:smallCaps/>
      <w:sz w:val="20"/>
      <w:szCs w:val="20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2019-05-13T08:03:00Z</dcterms:created>
  <dcterms:modified xsi:type="dcterms:W3CDTF">2019-05-13T08:03:00Z</dcterms:modified>
</cp:coreProperties>
</file>