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3892" w14:textId="20373BAB" w:rsidR="00D11FA6" w:rsidRPr="000801A9" w:rsidRDefault="00F355F4" w:rsidP="000E78D9">
      <w:pPr>
        <w:pStyle w:val="Titre4"/>
        <w:jc w:val="center"/>
        <w:rPr>
          <w:rFonts w:asciiTheme="majorHAnsi" w:eastAsia="Calibri" w:hAnsiTheme="majorHAnsi" w:cs="Times New Roman"/>
          <w:bCs/>
          <w:caps w:val="0"/>
          <w:snapToGrid w:val="0"/>
          <w:color w:val="3366FF"/>
          <w:kern w:val="28"/>
          <w:sz w:val="36"/>
          <w:szCs w:val="36"/>
          <w:u w:val="thick"/>
          <w:lang w:eastAsia="zh-CN"/>
        </w:rPr>
      </w:pPr>
      <w:bookmarkStart w:id="0" w:name="_GoBack"/>
      <w:bookmarkEnd w:id="0"/>
      <w:r w:rsidRPr="000801A9">
        <w:rPr>
          <w:rFonts w:asciiTheme="majorHAnsi" w:eastAsia="Calibri" w:hAnsiTheme="majorHAnsi" w:cs="Times New Roman"/>
          <w:bCs/>
          <w:caps w:val="0"/>
          <w:snapToGrid w:val="0"/>
          <w:color w:val="3366FF"/>
          <w:kern w:val="28"/>
          <w:sz w:val="36"/>
          <w:szCs w:val="36"/>
          <w:u w:val="thick"/>
          <w:lang w:eastAsia="zh-CN"/>
        </w:rPr>
        <w:t>FICHE TYPE D’INVENTAIRE DU PCI</w:t>
      </w:r>
    </w:p>
    <w:p w14:paraId="07024AD4" w14:textId="280754E8" w:rsidR="00F355F4" w:rsidRPr="000801A9" w:rsidRDefault="00F355F4" w:rsidP="00F355F4">
      <w:pPr>
        <w:rPr>
          <w:rFonts w:asciiTheme="majorHAnsi" w:hAnsiTheme="majorHAnsi" w:cs="Times New Roman"/>
          <w:szCs w:val="22"/>
          <w:lang w:val="fr-FR"/>
        </w:rPr>
      </w:pPr>
    </w:p>
    <w:p w14:paraId="3C50FD8E" w14:textId="6846B6C8" w:rsidR="00F355F4" w:rsidRPr="000801A9" w:rsidRDefault="00F355F4" w:rsidP="00F355F4">
      <w:pPr>
        <w:rPr>
          <w:rFonts w:asciiTheme="majorHAnsi" w:hAnsiTheme="majorHAnsi" w:cs="Times New Roman"/>
          <w:b/>
          <w:szCs w:val="22"/>
          <w:lang w:val="fr-FR"/>
        </w:rPr>
      </w:pPr>
      <w:r w:rsidRPr="000801A9">
        <w:rPr>
          <w:rFonts w:asciiTheme="majorHAnsi" w:hAnsiTheme="majorHAnsi" w:cs="Times New Roman"/>
          <w:b/>
          <w:szCs w:val="22"/>
          <w:u w:val="single"/>
          <w:lang w:val="fr-FR"/>
        </w:rPr>
        <w:t>REGION</w:t>
      </w:r>
      <w:r w:rsidRPr="000801A9">
        <w:rPr>
          <w:rFonts w:asciiTheme="majorHAnsi" w:hAnsiTheme="majorHAnsi" w:cs="Times New Roman"/>
          <w:b/>
          <w:szCs w:val="22"/>
          <w:lang w:val="fr-FR"/>
        </w:rPr>
        <w:t xml:space="preserve"> : </w:t>
      </w:r>
      <w:r w:rsidR="0091483E" w:rsidRPr="000801A9">
        <w:rPr>
          <w:rFonts w:asciiTheme="majorHAnsi" w:hAnsiTheme="majorHAnsi" w:cs="Times New Roman"/>
          <w:b/>
          <w:szCs w:val="22"/>
          <w:lang w:val="fr-FR"/>
        </w:rPr>
        <w:t xml:space="preserve">   THIES</w:t>
      </w:r>
    </w:p>
    <w:p w14:paraId="46BDE879" w14:textId="77777777" w:rsidR="00F355F4" w:rsidRPr="000801A9" w:rsidRDefault="00F355F4" w:rsidP="00F355F4">
      <w:pPr>
        <w:rPr>
          <w:rFonts w:asciiTheme="majorHAnsi" w:hAnsiTheme="majorHAnsi" w:cs="Times New Roman"/>
          <w:b/>
          <w:szCs w:val="22"/>
          <w:lang w:val="fr-FR"/>
        </w:rPr>
      </w:pPr>
    </w:p>
    <w:p w14:paraId="1C1116F0" w14:textId="7BDEF8CF" w:rsidR="00F355F4" w:rsidRPr="000801A9" w:rsidRDefault="00F355F4" w:rsidP="00F355F4">
      <w:pPr>
        <w:rPr>
          <w:rFonts w:asciiTheme="majorHAnsi" w:hAnsiTheme="majorHAnsi" w:cs="Times New Roman"/>
          <w:b/>
          <w:szCs w:val="22"/>
          <w:lang w:val="fr-FR"/>
        </w:rPr>
      </w:pPr>
      <w:r w:rsidRPr="000801A9">
        <w:rPr>
          <w:rFonts w:asciiTheme="majorHAnsi" w:hAnsiTheme="majorHAnsi" w:cs="Times New Roman"/>
          <w:b/>
          <w:szCs w:val="22"/>
          <w:u w:val="single"/>
          <w:lang w:val="fr-FR"/>
        </w:rPr>
        <w:t>DEPARTEMENT</w:t>
      </w:r>
      <w:r w:rsidRPr="000801A9">
        <w:rPr>
          <w:rFonts w:asciiTheme="majorHAnsi" w:hAnsiTheme="majorHAnsi" w:cs="Times New Roman"/>
          <w:b/>
          <w:szCs w:val="22"/>
          <w:lang w:val="fr-FR"/>
        </w:rPr>
        <w:t> :</w:t>
      </w:r>
      <w:r w:rsidR="0091483E" w:rsidRPr="000801A9">
        <w:rPr>
          <w:rFonts w:asciiTheme="majorHAnsi" w:hAnsiTheme="majorHAnsi" w:cs="Times New Roman"/>
          <w:b/>
          <w:szCs w:val="22"/>
          <w:lang w:val="fr-FR"/>
        </w:rPr>
        <w:t xml:space="preserve">     TIVAOUANE</w:t>
      </w:r>
    </w:p>
    <w:p w14:paraId="565B1A39" w14:textId="33FC1B74" w:rsidR="00C92ED6" w:rsidRPr="000801A9" w:rsidRDefault="00F355F4" w:rsidP="00F355F4">
      <w:pPr>
        <w:pStyle w:val="Titre4"/>
        <w:rPr>
          <w:rFonts w:asciiTheme="majorHAnsi" w:hAnsiTheme="majorHAnsi" w:cs="Times New Roman"/>
          <w:sz w:val="22"/>
        </w:rPr>
      </w:pPr>
      <w:r w:rsidRPr="000801A9">
        <w:rPr>
          <w:rFonts w:asciiTheme="majorHAnsi" w:hAnsiTheme="majorHAnsi" w:cs="Times New Roman"/>
          <w:sz w:val="22"/>
          <w:u w:val="single"/>
        </w:rPr>
        <w:t>Numero de la fiche</w:t>
      </w:r>
      <w:r w:rsidRPr="000801A9">
        <w:rPr>
          <w:rFonts w:asciiTheme="majorHAnsi" w:hAnsiTheme="majorHAnsi" w:cs="Times New Roman"/>
          <w:sz w:val="22"/>
        </w:rPr>
        <w:t> :</w:t>
      </w:r>
      <w:r w:rsidR="0091483E" w:rsidRPr="000801A9">
        <w:rPr>
          <w:rFonts w:asciiTheme="majorHAnsi" w:hAnsiTheme="majorHAnsi" w:cs="Times New Roman"/>
          <w:sz w:val="22"/>
        </w:rPr>
        <w:t xml:space="preserve">   002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214"/>
      </w:tblGrid>
      <w:tr w:rsidR="00C92ED6" w:rsidRPr="00791564" w14:paraId="404C9DFB" w14:textId="77777777" w:rsidTr="001A03A6">
        <w:tc>
          <w:tcPr>
            <w:tcW w:w="568" w:type="dxa"/>
            <w:shd w:val="clear" w:color="auto" w:fill="F2F2F2"/>
          </w:tcPr>
          <w:p w14:paraId="0009D042" w14:textId="77777777" w:rsidR="00C92ED6" w:rsidRPr="000801A9" w:rsidRDefault="00C92ED6" w:rsidP="00B04850">
            <w:pPr>
              <w:spacing w:before="80" w:after="0" w:line="200" w:lineRule="exact"/>
              <w:jc w:val="right"/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  <w:t>1.</w:t>
            </w:r>
          </w:p>
        </w:tc>
        <w:tc>
          <w:tcPr>
            <w:tcW w:w="9214" w:type="dxa"/>
            <w:shd w:val="clear" w:color="auto" w:fill="F2F2F2"/>
          </w:tcPr>
          <w:p w14:paraId="13871566" w14:textId="77777777" w:rsidR="00C92ED6" w:rsidRPr="000801A9" w:rsidRDefault="00C92ED6" w:rsidP="00B04850">
            <w:pPr>
              <w:pStyle w:val="Tabtxt"/>
              <w:keepNext w:val="0"/>
              <w:spacing w:before="80" w:after="0" w:line="240" w:lineRule="auto"/>
              <w:ind w:left="113"/>
              <w:jc w:val="left"/>
              <w:rPr>
                <w:rFonts w:asciiTheme="majorHAnsi" w:hAnsiTheme="majorHAnsi" w:cs="Times New Roman"/>
                <w:b/>
                <w:caps/>
                <w:sz w:val="22"/>
                <w:szCs w:val="22"/>
              </w:rPr>
            </w:pPr>
            <w:r w:rsidRPr="000801A9">
              <w:rPr>
                <w:rFonts w:asciiTheme="majorHAnsi" w:hAnsiTheme="majorHAnsi" w:cs="Times New Roman"/>
                <w:b/>
                <w:caps/>
                <w:snapToGrid w:val="0"/>
                <w:sz w:val="22"/>
                <w:szCs w:val="22"/>
              </w:rPr>
              <w:t>Identification de l’élément du PCI</w:t>
            </w:r>
          </w:p>
        </w:tc>
      </w:tr>
      <w:tr w:rsidR="00C92ED6" w:rsidRPr="000801A9" w14:paraId="3F409B14" w14:textId="77777777" w:rsidTr="001A03A6">
        <w:tc>
          <w:tcPr>
            <w:tcW w:w="568" w:type="dxa"/>
            <w:shd w:val="clear" w:color="auto" w:fill="auto"/>
          </w:tcPr>
          <w:p w14:paraId="565588F5" w14:textId="77777777" w:rsidR="00C92ED6" w:rsidRPr="000801A9" w:rsidRDefault="00C92ED6" w:rsidP="00B04850">
            <w:pPr>
              <w:spacing w:before="80" w:after="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1.1.</w:t>
            </w:r>
          </w:p>
        </w:tc>
        <w:tc>
          <w:tcPr>
            <w:tcW w:w="9214" w:type="dxa"/>
            <w:shd w:val="clear" w:color="auto" w:fill="auto"/>
          </w:tcPr>
          <w:p w14:paraId="33CAE7A5" w14:textId="77777777" w:rsidR="00FD49D9" w:rsidRPr="000801A9" w:rsidRDefault="00C92ED6" w:rsidP="00584899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Nom de l’élément du PCI tel qu’il est employé par la communauté concernée</w:t>
            </w:r>
          </w:p>
          <w:p w14:paraId="2A74006A" w14:textId="3EBD5B7F" w:rsidR="00584899" w:rsidRPr="000801A9" w:rsidRDefault="000E13A0" w:rsidP="00584899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ëw  dàll</w:t>
            </w:r>
          </w:p>
        </w:tc>
      </w:tr>
      <w:tr w:rsidR="00C92ED6" w:rsidRPr="00791564" w14:paraId="5696574F" w14:textId="77777777" w:rsidTr="001A03A6">
        <w:tc>
          <w:tcPr>
            <w:tcW w:w="568" w:type="dxa"/>
            <w:shd w:val="clear" w:color="auto" w:fill="auto"/>
          </w:tcPr>
          <w:p w14:paraId="2C8A2D6D" w14:textId="77777777" w:rsidR="00C92ED6" w:rsidRPr="000801A9" w:rsidRDefault="00C92ED6" w:rsidP="00C92ED6">
            <w:pPr>
              <w:spacing w:before="80" w:after="48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1.2.</w:t>
            </w:r>
          </w:p>
        </w:tc>
        <w:tc>
          <w:tcPr>
            <w:tcW w:w="9214" w:type="dxa"/>
            <w:shd w:val="clear" w:color="auto" w:fill="auto"/>
          </w:tcPr>
          <w:p w14:paraId="4182CA8A" w14:textId="77777777" w:rsidR="00C92ED6" w:rsidRPr="000801A9" w:rsidRDefault="00A06BCB" w:rsidP="00CF5C45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Titre </w:t>
            </w:r>
            <w:r w:rsidR="00C92ED6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de l’élément du PCI ‒ avec indication du (des) domaine(s) du PCI concerné(s)</w:t>
            </w:r>
          </w:p>
          <w:p w14:paraId="4BFD7C4C" w14:textId="20F778F2" w:rsidR="00BD0B97" w:rsidRPr="000801A9" w:rsidRDefault="00154843" w:rsidP="00CF5C45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Technique de fabrication de chaussures</w:t>
            </w:r>
            <w:r w:rsidR="005153F6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 </w:t>
            </w:r>
            <w:r w:rsidR="00B34786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-</w:t>
            </w:r>
            <w:r w:rsidR="005153F6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 </w:t>
            </w:r>
            <w:r w:rsidR="00B966EC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savoir - faire lies a l’artisanat traditionnel </w:t>
            </w:r>
          </w:p>
        </w:tc>
      </w:tr>
      <w:tr w:rsidR="00C92ED6" w:rsidRPr="00791564" w14:paraId="406D785C" w14:textId="77777777" w:rsidTr="00F007E6">
        <w:trPr>
          <w:trHeight w:val="893"/>
        </w:trPr>
        <w:tc>
          <w:tcPr>
            <w:tcW w:w="568" w:type="dxa"/>
            <w:shd w:val="clear" w:color="auto" w:fill="auto"/>
          </w:tcPr>
          <w:p w14:paraId="60A05A86" w14:textId="77777777" w:rsidR="00C92ED6" w:rsidRPr="000801A9" w:rsidRDefault="00C92ED6" w:rsidP="00C92ED6">
            <w:pPr>
              <w:spacing w:before="80" w:after="48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1.3.</w:t>
            </w:r>
          </w:p>
        </w:tc>
        <w:tc>
          <w:tcPr>
            <w:tcW w:w="9214" w:type="dxa"/>
            <w:shd w:val="clear" w:color="auto" w:fill="auto"/>
          </w:tcPr>
          <w:p w14:paraId="6AE985F1" w14:textId="77777777" w:rsidR="00623DE9" w:rsidRPr="000801A9" w:rsidRDefault="00C92ED6" w:rsidP="00623DE9">
            <w:pPr>
              <w:spacing w:before="80" w:after="0" w:line="200" w:lineRule="exact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Communauté</w:t>
            </w:r>
            <w:r w:rsidR="00A06BCB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</w:t>
            </w: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(s) concernée</w:t>
            </w:r>
            <w:r w:rsidR="00A06BCB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</w:t>
            </w: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(s)</w:t>
            </w:r>
          </w:p>
          <w:p w14:paraId="02BDA4F2" w14:textId="6535B509" w:rsidR="00F007E6" w:rsidRPr="00F007E6" w:rsidRDefault="00F007E6" w:rsidP="00623DE9">
            <w:pPr>
              <w:spacing w:before="80" w:after="0" w:line="200" w:lineRule="exact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6A1CC7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L</w:t>
            </w:r>
            <w:r w:rsidR="006A1CC7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es populations de</w:t>
            </w:r>
            <w:r w:rsidRPr="006A1CC7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Ngaye </w:t>
            </w:r>
            <w:r w:rsidR="006A1CC7" w:rsidRPr="006A1CC7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Mékhé</w:t>
            </w:r>
          </w:p>
        </w:tc>
      </w:tr>
      <w:tr w:rsidR="00C92ED6" w:rsidRPr="00791564" w14:paraId="7E5DF958" w14:textId="77777777" w:rsidTr="001A03A6">
        <w:tc>
          <w:tcPr>
            <w:tcW w:w="568" w:type="dxa"/>
            <w:shd w:val="clear" w:color="auto" w:fill="auto"/>
          </w:tcPr>
          <w:p w14:paraId="42AF2DDA" w14:textId="2F7F595B" w:rsidR="00C92ED6" w:rsidRPr="000801A9" w:rsidRDefault="00810966" w:rsidP="00201737">
            <w:pPr>
              <w:spacing w:before="0" w:after="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 xml:space="preserve"> </w:t>
            </w:r>
            <w:r w:rsidR="00C92ED6"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1.4.</w:t>
            </w:r>
          </w:p>
        </w:tc>
        <w:tc>
          <w:tcPr>
            <w:tcW w:w="9214" w:type="dxa"/>
            <w:shd w:val="clear" w:color="auto" w:fill="auto"/>
          </w:tcPr>
          <w:p w14:paraId="54A96028" w14:textId="77777777" w:rsidR="00C92ED6" w:rsidRPr="000801A9" w:rsidRDefault="00C92ED6" w:rsidP="00201737">
            <w:pPr>
              <w:spacing w:before="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Emplacement(s) physique(s)</w:t>
            </w:r>
            <w:r w:rsidR="00A06BCB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</w:t>
            </w: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/</w:t>
            </w:r>
            <w:r w:rsidR="00A06BCB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</w:t>
            </w: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répartition et fréquence de la pratique de l’élément du PCI</w:t>
            </w:r>
          </w:p>
          <w:p w14:paraId="557ED92A" w14:textId="399A77B8" w:rsidR="00572802" w:rsidRPr="000801A9" w:rsidRDefault="00150BEC" w:rsidP="00201737">
            <w:pPr>
              <w:spacing w:before="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COMMUNE DE NG</w:t>
            </w:r>
            <w:r w:rsidR="00816E8B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AYE MEKHE</w:t>
            </w:r>
            <w:r w:rsidR="00F007E6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(département de Tivaouane).</w:t>
            </w:r>
          </w:p>
        </w:tc>
      </w:tr>
      <w:tr w:rsidR="00C92ED6" w:rsidRPr="00791564" w14:paraId="67068422" w14:textId="77777777" w:rsidTr="001A03A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633A40B" w14:textId="77777777" w:rsidR="00C92ED6" w:rsidRPr="000801A9" w:rsidRDefault="00C92ED6" w:rsidP="00201737">
            <w:pPr>
              <w:spacing w:before="0" w:after="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1.5.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06C86671" w14:textId="3A1E6DA8" w:rsidR="00D40AF3" w:rsidRDefault="00C92ED6" w:rsidP="00201737">
            <w:pPr>
              <w:spacing w:before="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Brève description de l’élément du PCI (de préférence pas plus de 200 mots)</w:t>
            </w:r>
          </w:p>
          <w:p w14:paraId="68523889" w14:textId="77777777" w:rsidR="001A03A6" w:rsidRDefault="001A03A6" w:rsidP="00201737">
            <w:pPr>
              <w:spacing w:before="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</w:p>
          <w:p w14:paraId="7EAA4A33" w14:textId="2952FDED" w:rsidR="00B30968" w:rsidRPr="0051019F" w:rsidRDefault="00B30968" w:rsidP="00B30968">
            <w:pPr>
              <w:spacing w:before="0" w:after="0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  <w:r w:rsidRPr="0051019F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La technique de fabrication des chaussures et</w:t>
            </w:r>
            <w:r w:rsidR="002E1C0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des</w:t>
            </w:r>
            <w:r w:rsidRPr="0051019F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produits </w:t>
            </w:r>
            <w:r w:rsidR="00D70476" w:rsidRPr="0051019F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de cordonnerie est une pratique très ancienne</w:t>
            </w:r>
            <w:r w:rsidR="00C42525" w:rsidRPr="0051019F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FF0408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au Sénégal d’une manière générale </w:t>
            </w:r>
            <w:r w:rsidR="008C0F08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mais beau</w:t>
            </w:r>
            <w:r w:rsidR="007D1237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coup plus remarquable dans la commune de Ngaye dans le Département de Tivaouane.</w:t>
            </w:r>
          </w:p>
          <w:p w14:paraId="2E2FC0C4" w14:textId="3F95413B" w:rsidR="006E2B59" w:rsidRPr="009B32BE" w:rsidRDefault="002E1C09" w:rsidP="0051019F">
            <w:pPr>
              <w:spacing w:before="0" w:after="0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 w:cs="Times New Roman"/>
                <w:b/>
                <w:szCs w:val="22"/>
                <w:lang w:val="fr-FR"/>
              </w:rPr>
              <w:t>Ce s</w:t>
            </w:r>
            <w:r w:rsidR="006E2B59" w:rsidRPr="0051019F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avoir-faire, </w:t>
            </w:r>
            <w:r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 ces </w:t>
            </w:r>
            <w:r w:rsidR="006E2B59" w:rsidRPr="0051019F">
              <w:rPr>
                <w:rFonts w:asciiTheme="majorHAnsi" w:hAnsiTheme="majorHAnsi" w:cs="Times New Roman"/>
                <w:b/>
                <w:szCs w:val="22"/>
                <w:lang w:val="fr-FR"/>
              </w:rPr>
              <w:t>techniques et habiletés manuelles des populations locales</w:t>
            </w:r>
            <w:r w:rsidR="00A10301" w:rsidRPr="0051019F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 de Ngaye Mékhé et ses environs</w:t>
            </w:r>
            <w:r w:rsidR="00DA122D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 </w:t>
            </w:r>
            <w:r w:rsidR="00A7427F">
              <w:rPr>
                <w:rFonts w:asciiTheme="majorHAnsi" w:hAnsiTheme="majorHAnsi" w:cs="Times New Roman"/>
                <w:b/>
                <w:szCs w:val="22"/>
                <w:lang w:val="fr-FR"/>
              </w:rPr>
              <w:t>sont</w:t>
            </w:r>
            <w:r w:rsidR="00DA122D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 basé</w:t>
            </w:r>
            <w:r w:rsidR="00A7427F">
              <w:rPr>
                <w:rFonts w:asciiTheme="majorHAnsi" w:hAnsiTheme="majorHAnsi" w:cs="Times New Roman"/>
                <w:b/>
                <w:szCs w:val="22"/>
                <w:lang w:val="fr-FR"/>
              </w:rPr>
              <w:t>s</w:t>
            </w:r>
            <w:r w:rsidR="00DA122D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 sur</w:t>
            </w:r>
            <w:r w:rsidR="00BA57D5" w:rsidRPr="0051019F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 </w:t>
            </w:r>
            <w:r w:rsidR="006E2B59" w:rsidRPr="0051019F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 le travail et l’utilisation  des peaux de vaches, de moutons, de chèvres pour la fabrication traditionnelle de dif</w:t>
            </w:r>
            <w:r w:rsidR="002B2086">
              <w:rPr>
                <w:rFonts w:asciiTheme="majorHAnsi" w:hAnsiTheme="majorHAnsi" w:cs="Times New Roman"/>
                <w:b/>
                <w:szCs w:val="22"/>
                <w:lang w:val="fr-FR"/>
              </w:rPr>
              <w:t>férents produits de cordonnerie à savoir des</w:t>
            </w:r>
            <w:r w:rsidR="00F007E6" w:rsidRPr="00F007E6">
              <w:rPr>
                <w:rFonts w:asciiTheme="majorHAnsi" w:hAnsiTheme="majorHAnsi" w:cs="Times New Roman"/>
                <w:b/>
                <w:color w:val="FF0000"/>
                <w:szCs w:val="22"/>
                <w:lang w:val="fr-FR"/>
              </w:rPr>
              <w:t xml:space="preserve"> </w:t>
            </w:r>
            <w:r w:rsidR="00F007E6" w:rsidRPr="009B32BE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babouches, </w:t>
            </w:r>
            <w:r w:rsidR="00A7427F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 des </w:t>
            </w:r>
            <w:r w:rsidR="00F007E6" w:rsidRPr="009B32BE">
              <w:rPr>
                <w:rFonts w:asciiTheme="majorHAnsi" w:hAnsiTheme="majorHAnsi" w:cs="Times New Roman"/>
                <w:b/>
                <w:szCs w:val="22"/>
                <w:lang w:val="fr-FR"/>
              </w:rPr>
              <w:t>bottes,</w:t>
            </w:r>
            <w:r w:rsidR="00244A64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 des sandales, </w:t>
            </w:r>
            <w:r w:rsidR="00A7427F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 des </w:t>
            </w:r>
            <w:r w:rsidR="00F007E6" w:rsidRPr="009B32BE">
              <w:rPr>
                <w:rFonts w:asciiTheme="majorHAnsi" w:hAnsiTheme="majorHAnsi" w:cs="Times New Roman"/>
                <w:b/>
                <w:szCs w:val="22"/>
                <w:lang w:val="fr-FR"/>
              </w:rPr>
              <w:t xml:space="preserve"> </w:t>
            </w:r>
            <w:r w:rsidR="00244A64">
              <w:rPr>
                <w:rFonts w:asciiTheme="majorHAnsi" w:hAnsiTheme="majorHAnsi" w:cs="Times New Roman"/>
                <w:b/>
                <w:szCs w:val="22"/>
                <w:lang w:val="fr-FR"/>
              </w:rPr>
              <w:t>sacs et cartables.</w:t>
            </w:r>
          </w:p>
          <w:p w14:paraId="36293C99" w14:textId="77777777" w:rsidR="00F20B8D" w:rsidRPr="000801A9" w:rsidRDefault="00F20B8D" w:rsidP="00201737">
            <w:pPr>
              <w:spacing w:before="0" w:after="0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</w:p>
        </w:tc>
      </w:tr>
      <w:tr w:rsidR="00C92ED6" w:rsidRPr="00791564" w14:paraId="6DAE9358" w14:textId="77777777" w:rsidTr="001A03A6">
        <w:tc>
          <w:tcPr>
            <w:tcW w:w="568" w:type="dxa"/>
            <w:shd w:val="clear" w:color="auto" w:fill="F2F2F2"/>
          </w:tcPr>
          <w:p w14:paraId="0008024B" w14:textId="77777777" w:rsidR="00C92ED6" w:rsidRPr="000801A9" w:rsidRDefault="00C92ED6" w:rsidP="00B04850">
            <w:pPr>
              <w:spacing w:before="80" w:after="0" w:line="200" w:lineRule="exact"/>
              <w:jc w:val="right"/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  <w:t>2.</w:t>
            </w:r>
          </w:p>
        </w:tc>
        <w:tc>
          <w:tcPr>
            <w:tcW w:w="9214" w:type="dxa"/>
            <w:shd w:val="clear" w:color="auto" w:fill="F2F2F2"/>
          </w:tcPr>
          <w:p w14:paraId="4E4CA6FA" w14:textId="77777777" w:rsidR="00C92ED6" w:rsidRPr="000801A9" w:rsidRDefault="00C92ED6" w:rsidP="00B04850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bCs/>
                <w:caps/>
                <w:snapToGrid/>
                <w:szCs w:val="22"/>
                <w:lang w:val="fr-FR" w:eastAsia="fr-FR"/>
              </w:rPr>
              <w:t>Caractéristiques de l’élément du PCI</w:t>
            </w:r>
          </w:p>
        </w:tc>
      </w:tr>
      <w:tr w:rsidR="00C92ED6" w:rsidRPr="00791564" w14:paraId="0BE43642" w14:textId="77777777" w:rsidTr="001A03A6">
        <w:tc>
          <w:tcPr>
            <w:tcW w:w="568" w:type="dxa"/>
            <w:shd w:val="clear" w:color="auto" w:fill="auto"/>
          </w:tcPr>
          <w:p w14:paraId="5D578C3B" w14:textId="77777777" w:rsidR="00C92ED6" w:rsidRPr="000801A9" w:rsidRDefault="00C92ED6" w:rsidP="00636AE1">
            <w:pPr>
              <w:spacing w:before="80" w:after="0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2.1.</w:t>
            </w:r>
          </w:p>
        </w:tc>
        <w:tc>
          <w:tcPr>
            <w:tcW w:w="9214" w:type="dxa"/>
            <w:shd w:val="clear" w:color="auto" w:fill="auto"/>
          </w:tcPr>
          <w:p w14:paraId="1A86231B" w14:textId="77777777" w:rsidR="00C92ED6" w:rsidRPr="000801A9" w:rsidRDefault="00C92ED6" w:rsidP="00636AE1">
            <w:pPr>
              <w:spacing w:before="80" w:after="0"/>
              <w:ind w:left="113" w:righ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Praticien(s)</w:t>
            </w:r>
            <w:r w:rsidR="00A06BCB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</w:t>
            </w: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/</w:t>
            </w:r>
            <w:r w:rsidR="00A06BCB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</w:t>
            </w: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interprète(s) directement impliqué(s) dans la représentation ou la pratique de l’élément   du PCI (préciser nom, âge, sexe, catégorie professionnelle, etc.)</w:t>
            </w:r>
          </w:p>
          <w:p w14:paraId="3F864395" w14:textId="2DE2121F" w:rsidR="00063F48" w:rsidRPr="000801A9" w:rsidRDefault="00E365CB" w:rsidP="00F73B79">
            <w:pPr>
              <w:spacing w:before="0" w:after="0"/>
              <w:ind w:right="113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A l’origine les</w:t>
            </w:r>
            <w:r w:rsidRPr="000801A9"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 xml:space="preserve"> gnegno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plus </w:t>
            </w:r>
            <w:r w:rsidR="00810966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particulièrement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les </w:t>
            </w:r>
            <w:r w:rsidR="00570E5B" w:rsidRPr="000801A9"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>uudes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de </w:t>
            </w:r>
            <w:r w:rsidR="00810966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patronymes</w:t>
            </w:r>
            <w:r w:rsidR="00F007E6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 M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bow, </w:t>
            </w:r>
            <w:r w:rsidR="00810966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Kassé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, </w:t>
            </w:r>
            <w:r w:rsidR="00810966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Gueye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etc.</w:t>
            </w:r>
          </w:p>
          <w:p w14:paraId="02AB979E" w14:textId="7F106500" w:rsidR="00063F48" w:rsidRPr="000801A9" w:rsidRDefault="00E365CB" w:rsidP="00F73B79">
            <w:pPr>
              <w:spacing w:before="0" w:after="0"/>
              <w:ind w:righ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Mais de nos jours il n’y a pas de </w:t>
            </w:r>
            <w:r w:rsidR="005E6DC4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catégories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5E6DC4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spécifiques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dans la pratique de l’</w:t>
            </w:r>
            <w:r w:rsidR="005E6DC4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élément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. La classe </w:t>
            </w:r>
            <w:r w:rsidR="005E6DC4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d’âge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qui intervient dans la pratique de l’</w:t>
            </w:r>
            <w:r w:rsidR="005E6DC4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élément</w:t>
            </w:r>
            <w:r w:rsidR="006D4E7D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varie de 15 -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 25 ans </w:t>
            </w:r>
            <w:r w:rsidR="005E6DC4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jusqu’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a 60 ans.</w:t>
            </w:r>
          </w:p>
        </w:tc>
      </w:tr>
      <w:tr w:rsidR="00C92ED6" w:rsidRPr="00791564" w14:paraId="4620040D" w14:textId="77777777" w:rsidTr="001A03A6">
        <w:tc>
          <w:tcPr>
            <w:tcW w:w="568" w:type="dxa"/>
            <w:shd w:val="clear" w:color="auto" w:fill="auto"/>
          </w:tcPr>
          <w:p w14:paraId="4D023BC0" w14:textId="75179596" w:rsidR="00C92ED6" w:rsidRPr="000801A9" w:rsidRDefault="00C92ED6" w:rsidP="00C92ED6">
            <w:pPr>
              <w:spacing w:before="80" w:after="96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2.2.</w:t>
            </w:r>
          </w:p>
        </w:tc>
        <w:tc>
          <w:tcPr>
            <w:tcW w:w="9214" w:type="dxa"/>
            <w:shd w:val="clear" w:color="auto" w:fill="auto"/>
          </w:tcPr>
          <w:p w14:paraId="309B468E" w14:textId="77777777" w:rsidR="00C92ED6" w:rsidRPr="000801A9" w:rsidRDefault="00C92ED6" w:rsidP="00CA2E4C">
            <w:pPr>
              <w:spacing w:before="80" w:after="0"/>
              <w:ind w:left="113" w:righ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14:paraId="670B25EA" w14:textId="3A627151" w:rsidR="00F007E6" w:rsidRDefault="001F1C0E" w:rsidP="00CA2E4C">
            <w:pPr>
              <w:spacing w:before="80" w:after="0"/>
              <w:ind w:left="113" w:right="113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Femmes m</w:t>
            </w:r>
            <w:r w:rsidR="00150BEC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auresque</w:t>
            </w:r>
            <w:r w:rsidR="008419BE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s</w:t>
            </w:r>
            <w:r w:rsidR="00570E5B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contribuent fortement </w:t>
            </w:r>
            <w:r w:rsidR="00585DA3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8D4A92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à la pratique  de ce savoir- faire par le biais du tannage de peau de </w:t>
            </w:r>
            <w:r w:rsidR="000B78D1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vache,</w:t>
            </w:r>
            <w:r w:rsidR="008D4A92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chèvre et mouton.</w:t>
            </w:r>
          </w:p>
          <w:p w14:paraId="69BB00F1" w14:textId="2179BBDB" w:rsidR="00611EF4" w:rsidRPr="000801A9" w:rsidRDefault="00611EF4" w:rsidP="000B78D1">
            <w:pPr>
              <w:spacing w:before="80" w:after="0"/>
              <w:ind w:left="113" w:righ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791564" w14:paraId="72E022D1" w14:textId="77777777" w:rsidTr="001A03A6">
        <w:tc>
          <w:tcPr>
            <w:tcW w:w="568" w:type="dxa"/>
            <w:shd w:val="clear" w:color="auto" w:fill="auto"/>
          </w:tcPr>
          <w:p w14:paraId="55485325" w14:textId="31BA5EFF" w:rsidR="00C92ED6" w:rsidRPr="000801A9" w:rsidRDefault="00C92ED6" w:rsidP="00C92ED6">
            <w:pPr>
              <w:spacing w:before="80" w:after="48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2.3.</w:t>
            </w:r>
          </w:p>
        </w:tc>
        <w:tc>
          <w:tcPr>
            <w:tcW w:w="9214" w:type="dxa"/>
            <w:shd w:val="clear" w:color="auto" w:fill="auto"/>
          </w:tcPr>
          <w:p w14:paraId="6A1C1F94" w14:textId="77777777" w:rsidR="00C92ED6" w:rsidRPr="000801A9" w:rsidRDefault="00C92ED6" w:rsidP="00725B04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Langue(s) ou registre(s) de langue utilisée(s)</w:t>
            </w:r>
          </w:p>
          <w:p w14:paraId="52AA85E9" w14:textId="3EF273CF" w:rsidR="00CA2E4C" w:rsidRPr="000801A9" w:rsidRDefault="00ED4767" w:rsidP="00725B04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le wolof est utilisé  comme langue de travail</w:t>
            </w:r>
          </w:p>
        </w:tc>
      </w:tr>
      <w:tr w:rsidR="00C92ED6" w:rsidRPr="00791564" w14:paraId="759A4B1D" w14:textId="77777777" w:rsidTr="001A03A6">
        <w:tc>
          <w:tcPr>
            <w:tcW w:w="568" w:type="dxa"/>
            <w:shd w:val="clear" w:color="auto" w:fill="auto"/>
          </w:tcPr>
          <w:p w14:paraId="1BA4B0B4" w14:textId="77777777" w:rsidR="00C92ED6" w:rsidRPr="000801A9" w:rsidRDefault="00C92ED6" w:rsidP="00C92ED6">
            <w:pPr>
              <w:spacing w:before="80" w:after="96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lastRenderedPageBreak/>
              <w:t>2.4.</w:t>
            </w:r>
          </w:p>
        </w:tc>
        <w:tc>
          <w:tcPr>
            <w:tcW w:w="9214" w:type="dxa"/>
            <w:shd w:val="clear" w:color="auto" w:fill="auto"/>
          </w:tcPr>
          <w:p w14:paraId="1C4CF0A4" w14:textId="77777777" w:rsidR="00C92ED6" w:rsidRPr="000801A9" w:rsidRDefault="00C92ED6" w:rsidP="00150A49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14:paraId="6DA20C5C" w14:textId="2F5B62B5" w:rsidR="000B78D1" w:rsidRPr="003A4415" w:rsidRDefault="00ED4767" w:rsidP="00150A49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u w:val="single"/>
                <w:lang w:val="fr-FR" w:eastAsia="fr-FR"/>
              </w:rPr>
              <w:t>objets traditionnels</w:t>
            </w: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 </w:t>
            </w:r>
            <w:r w:rsidR="00F82216" w:rsidRPr="000801A9">
              <w:rPr>
                <w:rFonts w:asciiTheme="majorHAnsi" w:hAnsiTheme="majorHAnsi" w:cs="Times New Roman"/>
                <w:i/>
                <w:snapToGrid/>
                <w:szCs w:val="22"/>
                <w:lang w:val="fr-FR" w:eastAsia="fr-FR"/>
              </w:rPr>
              <w:t>:</w:t>
            </w:r>
            <w:r w:rsidR="00F82216">
              <w:rPr>
                <w:rFonts w:asciiTheme="majorHAnsi" w:hAnsiTheme="majorHAnsi" w:cs="Times New Roman"/>
                <w:i/>
                <w:snapToGrid/>
                <w:szCs w:val="22"/>
                <w:lang w:val="fr-FR" w:eastAsia="fr-FR"/>
              </w:rPr>
              <w:t xml:space="preserve"> Le</w:t>
            </w:r>
            <w:r w:rsidR="00A36604" w:rsidRPr="000801A9">
              <w:rPr>
                <w:rFonts w:asciiTheme="majorHAnsi" w:hAnsiTheme="majorHAnsi" w:cs="Times New Roman"/>
                <w:i/>
                <w:snapToGrid/>
                <w:szCs w:val="22"/>
                <w:lang w:val="fr-FR" w:eastAsia="fr-FR"/>
              </w:rPr>
              <w:t> « </w:t>
            </w:r>
            <w:r w:rsidR="00F9299D" w:rsidRPr="000801A9">
              <w:rPr>
                <w:rFonts w:asciiTheme="majorHAnsi" w:hAnsiTheme="majorHAnsi" w:cs="Times New Roman"/>
                <w:i/>
                <w:snapToGrid/>
                <w:szCs w:val="22"/>
                <w:lang w:val="fr-FR" w:eastAsia="fr-FR"/>
              </w:rPr>
              <w:t xml:space="preserve"> </w:t>
            </w:r>
            <w:r w:rsidR="00F82216"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>tiepè</w:t>
            </w:r>
            <w:r w:rsidRPr="000801A9"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>le</w:t>
            </w:r>
            <w:r w:rsidR="00A36604" w:rsidRPr="000801A9"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> »</w:t>
            </w:r>
            <w:r w:rsidRPr="000801A9"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 xml:space="preserve"> </w:t>
            </w:r>
            <w:r w:rsidR="00C7212C" w:rsidRPr="00C7212C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morceau de</w:t>
            </w:r>
            <w:r w:rsidR="00C7212C"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 xml:space="preserve"> </w:t>
            </w:r>
            <w:r w:rsidR="003A4415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bois en forme de couteau  </w:t>
            </w:r>
            <w:r w:rsidR="00FD0DCE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permettant </w:t>
            </w:r>
            <w:r w:rsidR="002C60A7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resserrer les bordures des chaussures  </w:t>
            </w:r>
          </w:p>
          <w:p w14:paraId="16E8C097" w14:textId="6CD13F64" w:rsidR="00F9299D" w:rsidRPr="00925571" w:rsidRDefault="00F82216" w:rsidP="00150A49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F82216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Le</w:t>
            </w:r>
            <w:r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 xml:space="preserve"> </w:t>
            </w:r>
            <w:r w:rsidR="00A36604" w:rsidRPr="000801A9"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>« </w:t>
            </w:r>
            <w:r w:rsidR="00ED4767" w:rsidRPr="000801A9"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 xml:space="preserve"> bokholi</w:t>
            </w:r>
            <w:r w:rsidR="00A36604" w:rsidRPr="000801A9"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> »</w:t>
            </w:r>
            <w:r w:rsidR="00F007E6">
              <w:rPr>
                <w:rFonts w:asciiTheme="majorHAnsi" w:hAnsiTheme="majorHAnsi" w:cs="Times New Roman"/>
                <w:b/>
                <w:i/>
                <w:snapToGrid/>
                <w:szCs w:val="22"/>
                <w:lang w:val="fr-FR" w:eastAsia="fr-FR"/>
              </w:rPr>
              <w:t xml:space="preserve">, </w:t>
            </w:r>
            <w:r w:rsidR="00696EF5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semelle en caoutchouc permettant de donner forme </w:t>
            </w:r>
            <w:r w:rsidR="009301EC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à la chaussure.</w:t>
            </w:r>
            <w:r w:rsidR="00696EF5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</w:t>
            </w:r>
          </w:p>
          <w:p w14:paraId="181B97C6" w14:textId="4B3AB453" w:rsidR="00AC3E84" w:rsidRPr="000801A9" w:rsidRDefault="00AC3E84" w:rsidP="00150A49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791564" w14:paraId="03065CB9" w14:textId="77777777" w:rsidTr="001A03A6">
        <w:tc>
          <w:tcPr>
            <w:tcW w:w="568" w:type="dxa"/>
            <w:shd w:val="clear" w:color="auto" w:fill="auto"/>
          </w:tcPr>
          <w:p w14:paraId="3B407C9D" w14:textId="77777777" w:rsidR="00C92ED6" w:rsidRPr="000801A9" w:rsidRDefault="00C92ED6" w:rsidP="00C92ED6">
            <w:pPr>
              <w:spacing w:before="80" w:after="48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2.5.</w:t>
            </w:r>
          </w:p>
        </w:tc>
        <w:tc>
          <w:tcPr>
            <w:tcW w:w="9214" w:type="dxa"/>
            <w:shd w:val="clear" w:color="auto" w:fill="auto"/>
          </w:tcPr>
          <w:p w14:paraId="3CE2498B" w14:textId="77777777" w:rsidR="00C92ED6" w:rsidRPr="000801A9" w:rsidRDefault="00C92ED6" w:rsidP="00150A49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14:paraId="33F96E39" w14:textId="77AA7946" w:rsidR="006577BC" w:rsidRPr="000801A9" w:rsidRDefault="009301EC" w:rsidP="00150A49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Avant</w:t>
            </w:r>
            <w:r w:rsidR="00006E8A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tout début de travaux des  Incantations  et </w:t>
            </w:r>
            <w:r w:rsidR="00034BC4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C35EE4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Prières</w:t>
            </w:r>
            <w:r w:rsidR="00006E8A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sont formul</w:t>
            </w:r>
            <w:r w:rsidR="006418D2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ées.</w:t>
            </w:r>
          </w:p>
        </w:tc>
      </w:tr>
      <w:tr w:rsidR="00C92ED6" w:rsidRPr="00791564" w14:paraId="6D138D37" w14:textId="77777777" w:rsidTr="001A03A6">
        <w:tc>
          <w:tcPr>
            <w:tcW w:w="568" w:type="dxa"/>
            <w:shd w:val="clear" w:color="auto" w:fill="auto"/>
          </w:tcPr>
          <w:p w14:paraId="261FDAC8" w14:textId="77777777" w:rsidR="00C92ED6" w:rsidRPr="000801A9" w:rsidRDefault="00C92ED6" w:rsidP="00DC5C95">
            <w:pPr>
              <w:spacing w:before="0" w:after="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2.6.</w:t>
            </w:r>
          </w:p>
        </w:tc>
        <w:tc>
          <w:tcPr>
            <w:tcW w:w="9214" w:type="dxa"/>
            <w:shd w:val="clear" w:color="auto" w:fill="auto"/>
          </w:tcPr>
          <w:p w14:paraId="37045686" w14:textId="780EE5A5" w:rsidR="00C92ED6" w:rsidRPr="000801A9" w:rsidRDefault="00D42060" w:rsidP="00DC5C95">
            <w:pPr>
              <w:spacing w:before="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pratiques coutumières (le cas échéant) régissant l’accès à l’élément du </w:t>
            </w:r>
            <w:r w:rsidR="00D26C2C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PCI</w:t>
            </w: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ou à certains de ses aspects</w:t>
            </w:r>
          </w:p>
          <w:p w14:paraId="2F18FFA1" w14:textId="60340058" w:rsidR="00150A49" w:rsidRPr="000801A9" w:rsidRDefault="00C87C22" w:rsidP="00DC5C95">
            <w:pPr>
              <w:spacing w:before="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L</w:t>
            </w:r>
            <w:r w:rsidR="00CE5F5E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es pratiques coutumières</w:t>
            </w:r>
            <w:r w:rsidR="00CA721F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81520B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régissant</w:t>
            </w:r>
            <w:r w:rsidR="00CA721F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l’</w:t>
            </w:r>
            <w:r w:rsidR="0081520B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accès</w:t>
            </w:r>
            <w:r w:rsidR="00CA721F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au savoir –faire sont</w:t>
            </w:r>
            <w:r w:rsidR="00CE5F5E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CA721F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la</w:t>
            </w:r>
            <w:r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D42060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formation sur les différentes techniques de maniement des instruments</w:t>
            </w:r>
            <w:r w:rsidR="0081520B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et l’apprentissage continu</w:t>
            </w:r>
          </w:p>
        </w:tc>
      </w:tr>
      <w:tr w:rsidR="00C92ED6" w:rsidRPr="006A1CC7" w14:paraId="21A07285" w14:textId="77777777" w:rsidTr="001A03A6">
        <w:tc>
          <w:tcPr>
            <w:tcW w:w="568" w:type="dxa"/>
            <w:shd w:val="clear" w:color="auto" w:fill="auto"/>
          </w:tcPr>
          <w:p w14:paraId="221D6CFF" w14:textId="77777777" w:rsidR="00C92ED6" w:rsidRPr="000801A9" w:rsidRDefault="00C92ED6" w:rsidP="00DC5C95">
            <w:pPr>
              <w:spacing w:before="0" w:after="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2.7.</w:t>
            </w:r>
          </w:p>
        </w:tc>
        <w:tc>
          <w:tcPr>
            <w:tcW w:w="9214" w:type="dxa"/>
            <w:shd w:val="clear" w:color="auto" w:fill="auto"/>
          </w:tcPr>
          <w:p w14:paraId="698C8B08" w14:textId="6568F41E" w:rsidR="00C92ED6" w:rsidRDefault="00D42060" w:rsidP="00DC5C95">
            <w:pPr>
              <w:spacing w:before="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modes de transmission aux autres membres de la communauté</w:t>
            </w:r>
          </w:p>
          <w:p w14:paraId="5DEB2968" w14:textId="58264712" w:rsidR="00491056" w:rsidRPr="00340E80" w:rsidRDefault="001C5691" w:rsidP="00340E80">
            <w:pPr>
              <w:spacing w:before="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340E80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L’apprentissage et la formation </w:t>
            </w:r>
            <w:r w:rsidR="00340E80" w:rsidRPr="00340E80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sont les modes de transmission aux autres membres de la </w:t>
            </w:r>
            <w:r w:rsidR="00791564" w:rsidRPr="00340E80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communauté</w:t>
            </w:r>
            <w:r w:rsidR="00791564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.</w:t>
            </w:r>
            <w:r w:rsidR="00791564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La</w:t>
            </w:r>
            <w:r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D42060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durée d’apprentissage est de 7 ans</w:t>
            </w:r>
          </w:p>
        </w:tc>
      </w:tr>
      <w:tr w:rsidR="00C92ED6" w:rsidRPr="00791564" w14:paraId="17691B9D" w14:textId="77777777" w:rsidTr="001A03A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35615D6" w14:textId="77777777" w:rsidR="00C92ED6" w:rsidRPr="000801A9" w:rsidRDefault="00C92ED6" w:rsidP="003D0F67">
            <w:pPr>
              <w:spacing w:before="80" w:after="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2.8.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07584D6E" w14:textId="77777777" w:rsidR="00C92ED6" w:rsidRPr="000801A9" w:rsidRDefault="00C92ED6" w:rsidP="003D0F67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Organisations concernées (organisations communautaires, ONG ou autres, le cas échéant)</w:t>
            </w:r>
          </w:p>
          <w:p w14:paraId="38906B17" w14:textId="53A0CD04" w:rsidR="00EE2FA5" w:rsidRPr="000801A9" w:rsidRDefault="001A03A6" w:rsidP="003D0F67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COSEC</w:t>
            </w:r>
            <w:r w:rsidR="00D26C2C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-  chambre des métiers</w:t>
            </w:r>
            <w:r w:rsidR="00DC5C95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– GIE </w:t>
            </w:r>
            <w:r w:rsidR="00D26C2C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587373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Aar</w:t>
            </w:r>
            <w:r w:rsidR="00D26C2C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587373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Dalou</w:t>
            </w:r>
            <w:r w:rsidR="00D26C2C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587373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Ngaay </w:t>
            </w:r>
            <w:r w:rsidR="00977130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–</w:t>
            </w:r>
            <w:r w:rsidR="00587373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U</w:t>
            </w:r>
            <w:r w:rsidR="00977130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A M </w:t>
            </w:r>
            <w:r w:rsidR="00F804DE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E (</w:t>
            </w:r>
            <w:r w:rsidR="006A4675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Union des Artisans de Mékhé et Environs)</w:t>
            </w:r>
          </w:p>
        </w:tc>
      </w:tr>
      <w:tr w:rsidR="00C92ED6" w:rsidRPr="00791564" w14:paraId="392EF967" w14:textId="77777777" w:rsidTr="001A03A6">
        <w:tc>
          <w:tcPr>
            <w:tcW w:w="568" w:type="dxa"/>
            <w:shd w:val="clear" w:color="auto" w:fill="F2F2F2"/>
          </w:tcPr>
          <w:p w14:paraId="365509BD" w14:textId="77777777" w:rsidR="00C92ED6" w:rsidRPr="000801A9" w:rsidRDefault="00C92ED6" w:rsidP="00C92ED6">
            <w:pPr>
              <w:spacing w:before="80" w:after="80" w:line="200" w:lineRule="exact"/>
              <w:jc w:val="right"/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  <w:t>3.</w:t>
            </w:r>
          </w:p>
        </w:tc>
        <w:tc>
          <w:tcPr>
            <w:tcW w:w="9214" w:type="dxa"/>
            <w:shd w:val="clear" w:color="auto" w:fill="F2F2F2"/>
          </w:tcPr>
          <w:p w14:paraId="776357DF" w14:textId="77777777" w:rsidR="00C92ED6" w:rsidRPr="000801A9" w:rsidRDefault="00C92ED6" w:rsidP="00C92ED6">
            <w:pPr>
              <w:spacing w:before="80" w:after="80" w:line="200" w:lineRule="exact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bCs/>
                <w:caps/>
                <w:snapToGrid/>
                <w:szCs w:val="22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791564" w14:paraId="304EC001" w14:textId="77777777" w:rsidTr="001A03A6">
        <w:tc>
          <w:tcPr>
            <w:tcW w:w="568" w:type="dxa"/>
            <w:shd w:val="clear" w:color="auto" w:fill="auto"/>
          </w:tcPr>
          <w:p w14:paraId="5A22B3C4" w14:textId="77777777" w:rsidR="00C92ED6" w:rsidRPr="000801A9" w:rsidRDefault="00C92ED6" w:rsidP="00C92ED6">
            <w:pPr>
              <w:spacing w:before="80" w:after="96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3.1.</w:t>
            </w:r>
          </w:p>
        </w:tc>
        <w:tc>
          <w:tcPr>
            <w:tcW w:w="9214" w:type="dxa"/>
            <w:shd w:val="clear" w:color="auto" w:fill="auto"/>
          </w:tcPr>
          <w:p w14:paraId="4EBCCAC5" w14:textId="77777777" w:rsidR="00C92ED6" w:rsidRPr="000801A9" w:rsidRDefault="00C92ED6" w:rsidP="00F26DF8">
            <w:pPr>
              <w:spacing w:before="80" w:after="0"/>
              <w:ind w:left="113" w:right="57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Menaces éventuelles sur la pratique permanente de l’élément dans la (les) communauté(s) concernée(s)</w:t>
            </w:r>
          </w:p>
          <w:p w14:paraId="3AC41CF7" w14:textId="20BB6EB8" w:rsidR="008620D9" w:rsidRPr="000801A9" w:rsidRDefault="00D2020E" w:rsidP="00F26DF8">
            <w:pPr>
              <w:pStyle w:val="Paragraphedeliste"/>
              <w:numPr>
                <w:ilvl w:val="0"/>
                <w:numId w:val="24"/>
              </w:numPr>
              <w:spacing w:before="80" w:after="0"/>
              <w:ind w:right="57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 xml:space="preserve">l’utilisation de matières de substitution à la peau </w:t>
            </w:r>
          </w:p>
          <w:p w14:paraId="55D21592" w14:textId="797A4486" w:rsidR="00F26DF8" w:rsidRPr="000801A9" w:rsidRDefault="00D2020E" w:rsidP="000D1384">
            <w:pPr>
              <w:pStyle w:val="Paragraphedeliste"/>
              <w:numPr>
                <w:ilvl w:val="0"/>
                <w:numId w:val="24"/>
              </w:numPr>
              <w:spacing w:before="80" w:after="0"/>
              <w:ind w:right="57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>l’intrusion de plus  en plus  prononcée de la machine</w:t>
            </w:r>
          </w:p>
          <w:p w14:paraId="5D92D16C" w14:textId="34B6090D" w:rsidR="0012187F" w:rsidRPr="000801A9" w:rsidRDefault="00D2020E" w:rsidP="0012187F">
            <w:pPr>
              <w:pStyle w:val="Paragraphedeliste"/>
              <w:numPr>
                <w:ilvl w:val="0"/>
                <w:numId w:val="24"/>
              </w:numPr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>la concurrence déloyale des produits chinois</w:t>
            </w:r>
          </w:p>
          <w:p w14:paraId="00574DC2" w14:textId="225E00C6" w:rsidR="0012187F" w:rsidRPr="000801A9" w:rsidRDefault="0012187F" w:rsidP="0051640F">
            <w:pPr>
              <w:pStyle w:val="Paragraphedeliste"/>
              <w:spacing w:before="80" w:after="0"/>
              <w:ind w:left="833" w:right="57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791564" w14:paraId="5055E060" w14:textId="77777777" w:rsidTr="001A03A6">
        <w:tc>
          <w:tcPr>
            <w:tcW w:w="568" w:type="dxa"/>
            <w:shd w:val="clear" w:color="auto" w:fill="auto"/>
          </w:tcPr>
          <w:p w14:paraId="5828A681" w14:textId="109808D3" w:rsidR="00C92ED6" w:rsidRPr="000801A9" w:rsidRDefault="00C92ED6" w:rsidP="00C92ED6">
            <w:pPr>
              <w:spacing w:before="80" w:after="96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3.2.</w:t>
            </w:r>
          </w:p>
        </w:tc>
        <w:tc>
          <w:tcPr>
            <w:tcW w:w="9214" w:type="dxa"/>
            <w:shd w:val="clear" w:color="auto" w:fill="auto"/>
          </w:tcPr>
          <w:p w14:paraId="2601264F" w14:textId="77777777" w:rsidR="00C92ED6" w:rsidRPr="000801A9" w:rsidRDefault="00C92ED6" w:rsidP="00E27741">
            <w:pPr>
              <w:spacing w:before="80" w:after="0" w:line="200" w:lineRule="exact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Menaces éventuelles sur la transmission de l’élément dans la (les) communauté(s) concernée(s)</w:t>
            </w:r>
          </w:p>
          <w:p w14:paraId="5D1F550E" w14:textId="7CA85E16" w:rsidR="003D76C8" w:rsidRPr="000801A9" w:rsidRDefault="00747B5E" w:rsidP="00E27741">
            <w:pPr>
              <w:pStyle w:val="Paragraphedeliste"/>
              <w:numPr>
                <w:ilvl w:val="0"/>
                <w:numId w:val="25"/>
              </w:numPr>
              <w:spacing w:before="80" w:after="0" w:line="200" w:lineRule="exact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>les jeunes ne prennent plus le temps</w:t>
            </w:r>
            <w:r w:rsidR="0018602B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 xml:space="preserve"> </w:t>
            </w:r>
            <w:r w:rsidR="00110A5A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 xml:space="preserve">nécessaire d’apprendre </w:t>
            </w:r>
            <w:r w:rsidRPr="000801A9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 xml:space="preserve"> le </w:t>
            </w:r>
            <w:r w:rsidR="004F6DE7" w:rsidRPr="000801A9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>métier.</w:t>
            </w:r>
            <w:r w:rsidR="002E6D6F" w:rsidRPr="000801A9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 xml:space="preserve">              </w:t>
            </w:r>
          </w:p>
          <w:p w14:paraId="2A88774F" w14:textId="622E7FAE" w:rsidR="00D8061B" w:rsidRPr="000801A9" w:rsidRDefault="00F657A1" w:rsidP="00A06BD2">
            <w:pPr>
              <w:pStyle w:val="Paragraphedeliste"/>
              <w:numPr>
                <w:ilvl w:val="0"/>
                <w:numId w:val="25"/>
              </w:numPr>
              <w:spacing w:before="80" w:after="0" w:line="200" w:lineRule="exact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>L’</w:t>
            </w:r>
            <w:r w:rsidR="00747B5E" w:rsidRPr="000801A9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 xml:space="preserve">utilisation d’objets et de machines </w:t>
            </w:r>
            <w:r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 xml:space="preserve">modernes constitue une menace </w:t>
            </w:r>
            <w:r w:rsidR="0018602B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>sur la transmission</w:t>
            </w:r>
            <w:r w:rsidR="00110A5A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 xml:space="preserve"> des techniques manuelles.</w:t>
            </w:r>
          </w:p>
        </w:tc>
      </w:tr>
      <w:tr w:rsidR="00C92ED6" w:rsidRPr="00791564" w14:paraId="3731F716" w14:textId="77777777" w:rsidTr="00EA7513">
        <w:trPr>
          <w:trHeight w:val="1016"/>
        </w:trPr>
        <w:tc>
          <w:tcPr>
            <w:tcW w:w="568" w:type="dxa"/>
            <w:shd w:val="clear" w:color="auto" w:fill="auto"/>
          </w:tcPr>
          <w:p w14:paraId="098D9214" w14:textId="77777777" w:rsidR="00C92ED6" w:rsidRPr="000801A9" w:rsidRDefault="00C92ED6" w:rsidP="00C92ED6">
            <w:pPr>
              <w:spacing w:before="80" w:after="96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3.3.</w:t>
            </w:r>
          </w:p>
        </w:tc>
        <w:tc>
          <w:tcPr>
            <w:tcW w:w="9214" w:type="dxa"/>
            <w:shd w:val="clear" w:color="auto" w:fill="auto"/>
          </w:tcPr>
          <w:p w14:paraId="7BB4D691" w14:textId="77777777" w:rsidR="00C92ED6" w:rsidRPr="000801A9" w:rsidRDefault="00C92ED6" w:rsidP="00D92602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14:paraId="16C73781" w14:textId="5BFFE5EE" w:rsidR="00711D88" w:rsidRPr="00F007E6" w:rsidRDefault="00F007E6" w:rsidP="00F007E6">
            <w:pPr>
              <w:spacing w:before="80" w:after="0" w:line="200" w:lineRule="exact"/>
              <w:ind w:left="47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F007E6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 xml:space="preserve">Les </w:t>
            </w:r>
            <w:r w:rsidR="004F6DE7" w:rsidRPr="00F007E6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>fortes exportations de peau</w:t>
            </w:r>
            <w:r w:rsidR="00E65641" w:rsidRPr="00F007E6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>x</w:t>
            </w:r>
            <w:r w:rsidR="004F6DE7" w:rsidRPr="00F007E6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 xml:space="preserve"> font que  la matière première est rare</w:t>
            </w:r>
          </w:p>
          <w:p w14:paraId="1729BC85" w14:textId="3D45691D" w:rsidR="00D92602" w:rsidRPr="000801A9" w:rsidRDefault="00D92602" w:rsidP="00206BD3">
            <w:pPr>
              <w:pStyle w:val="Paragraphedeliste"/>
              <w:spacing w:before="80" w:after="0"/>
              <w:ind w:left="83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791564" w14:paraId="073551B6" w14:textId="77777777" w:rsidTr="001A03A6">
        <w:tc>
          <w:tcPr>
            <w:tcW w:w="568" w:type="dxa"/>
            <w:shd w:val="clear" w:color="auto" w:fill="auto"/>
          </w:tcPr>
          <w:p w14:paraId="12E0C662" w14:textId="77777777" w:rsidR="00C92ED6" w:rsidRPr="000801A9" w:rsidRDefault="00C92ED6" w:rsidP="00461588">
            <w:pPr>
              <w:spacing w:before="0" w:after="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3.4.</w:t>
            </w:r>
          </w:p>
        </w:tc>
        <w:tc>
          <w:tcPr>
            <w:tcW w:w="9214" w:type="dxa"/>
            <w:shd w:val="clear" w:color="auto" w:fill="auto"/>
          </w:tcPr>
          <w:p w14:paraId="40A4D49A" w14:textId="77777777" w:rsidR="00C92ED6" w:rsidRPr="000801A9" w:rsidRDefault="00C92ED6" w:rsidP="00461588">
            <w:pPr>
              <w:spacing w:before="0" w:after="0" w:line="200" w:lineRule="exact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Viabilité des autres éléments du patrimoine immatériel (le cas échéant) associés à l’élément du PCI</w:t>
            </w:r>
          </w:p>
          <w:p w14:paraId="57DF9B14" w14:textId="77777777" w:rsidR="00A56830" w:rsidRPr="000801A9" w:rsidRDefault="00A56830" w:rsidP="00461588">
            <w:pPr>
              <w:spacing w:before="0" w:after="0" w:line="200" w:lineRule="exact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</w:p>
          <w:p w14:paraId="01C7AB31" w14:textId="640C6445" w:rsidR="009B2982" w:rsidRPr="000801A9" w:rsidRDefault="005A1B63" w:rsidP="00C05981">
            <w:pPr>
              <w:spacing w:before="0" w:after="0" w:line="200" w:lineRule="exact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Des m</w:t>
            </w:r>
            <w:r w:rsidR="00C7626D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enaces</w:t>
            </w:r>
            <w:r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sont constatées </w:t>
            </w:r>
            <w:r w:rsidR="00E04D62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sur la viabilité</w:t>
            </w:r>
            <w:r w:rsidR="00C7626D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E04D62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des </w:t>
            </w:r>
            <w:r w:rsidR="00C7626D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incantations  et </w:t>
            </w:r>
            <w:r w:rsidR="005151D1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prières</w:t>
            </w:r>
            <w:r w:rsidR="00C7626D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qui ne sont plus </w:t>
            </w:r>
            <w:r w:rsidR="005151D1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transmis</w:t>
            </w:r>
            <w:r w:rsidR="00F007E6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es</w:t>
            </w:r>
            <w:r w:rsidR="00C7626D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correctement</w:t>
            </w:r>
          </w:p>
          <w:p w14:paraId="54276AB4" w14:textId="7D630AE6" w:rsidR="00C05981" w:rsidRPr="000801A9" w:rsidRDefault="00C05981" w:rsidP="00C05981">
            <w:pPr>
              <w:spacing w:before="0" w:after="0" w:line="200" w:lineRule="exact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791564" w14:paraId="0D6C443A" w14:textId="77777777" w:rsidTr="00A10884">
        <w:trPr>
          <w:trHeight w:val="13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38C7030" w14:textId="006A6DC1" w:rsidR="00C92ED6" w:rsidRPr="000801A9" w:rsidRDefault="00C92ED6" w:rsidP="00461588">
            <w:pPr>
              <w:spacing w:before="0" w:after="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3.5.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43896A10" w14:textId="77777777" w:rsidR="00C92ED6" w:rsidRDefault="00C92ED6" w:rsidP="00374FEE">
            <w:pPr>
              <w:spacing w:before="0" w:after="0"/>
              <w:ind w:left="113" w:right="57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14:paraId="26B19CD7" w14:textId="77777777" w:rsidR="003C0C11" w:rsidRDefault="003C0C11" w:rsidP="00374FEE">
            <w:pPr>
              <w:spacing w:before="0" w:after="0"/>
              <w:ind w:left="113" w:right="57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</w:p>
          <w:p w14:paraId="20085735" w14:textId="131875B6" w:rsidR="00DC67E6" w:rsidRPr="003C0C11" w:rsidRDefault="00DC67E6" w:rsidP="00374FEE">
            <w:pPr>
              <w:spacing w:before="0" w:after="0"/>
              <w:ind w:left="113" w:right="57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  <w:r w:rsidRPr="003C0C11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Pour pallier à ces différentes menaces </w:t>
            </w:r>
            <w:r w:rsidR="002D6A0A" w:rsidRPr="003C0C11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le GIE arr Dalou </w:t>
            </w:r>
            <w:r w:rsidR="0048083D" w:rsidRPr="003C0C11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Ngaay</w:t>
            </w:r>
            <w:r w:rsidR="002D6A0A" w:rsidRPr="003C0C11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et l’UAME</w:t>
            </w:r>
            <w:r w:rsidR="0048083D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6E39B5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préconisent</w:t>
            </w:r>
            <w:r w:rsidR="0048083D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comme mesures de sauvegarde</w:t>
            </w:r>
          </w:p>
          <w:p w14:paraId="19EE232C" w14:textId="77777777" w:rsidR="001D33AB" w:rsidRPr="003C0C11" w:rsidRDefault="001D33AB" w:rsidP="00374FEE">
            <w:pPr>
              <w:spacing w:before="0" w:after="0"/>
              <w:ind w:left="113" w:right="57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</w:p>
          <w:p w14:paraId="1AC9A038" w14:textId="77777777" w:rsidR="00374FEE" w:rsidRPr="00374FEE" w:rsidRDefault="00374FEE" w:rsidP="00374FEE">
            <w:pPr>
              <w:pStyle w:val="Paragraphedeliste"/>
              <w:spacing w:before="0" w:after="0"/>
              <w:ind w:left="862" w:right="57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  <w:p w14:paraId="4414465B" w14:textId="77777777" w:rsidR="00374FEE" w:rsidRPr="00374FEE" w:rsidRDefault="00374FEE" w:rsidP="00374FEE">
            <w:pPr>
              <w:pStyle w:val="Paragraphedeliste"/>
              <w:spacing w:before="0" w:after="0"/>
              <w:ind w:left="862" w:right="57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  <w:p w14:paraId="5FB28119" w14:textId="1112497F" w:rsidR="001D33AB" w:rsidRPr="003C0C11" w:rsidRDefault="0064110C" w:rsidP="00374FEE">
            <w:pPr>
              <w:pStyle w:val="Paragraphedeliste"/>
              <w:numPr>
                <w:ilvl w:val="0"/>
                <w:numId w:val="28"/>
              </w:numPr>
              <w:spacing w:before="0" w:after="0"/>
              <w:ind w:right="57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lastRenderedPageBreak/>
              <w:t>d’</w:t>
            </w:r>
            <w:r w:rsidR="001D33AB" w:rsidRPr="003C0C11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>encourager la product</w:t>
            </w:r>
            <w:r w:rsidR="00E65641" w:rsidRPr="003C0C11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>ion nationale de cuir de qualité</w:t>
            </w:r>
          </w:p>
          <w:p w14:paraId="6DF09AF5" w14:textId="059A3886" w:rsidR="006C356A" w:rsidRPr="003C0C11" w:rsidRDefault="0064110C" w:rsidP="00374FEE">
            <w:pPr>
              <w:pStyle w:val="Paragraphedeliste"/>
              <w:numPr>
                <w:ilvl w:val="0"/>
                <w:numId w:val="28"/>
              </w:numPr>
              <w:spacing w:before="0" w:after="0"/>
              <w:ind w:right="57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  <w:r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 xml:space="preserve">de </w:t>
            </w:r>
            <w:r w:rsidR="001D33AB" w:rsidRPr="003C0C11">
              <w:rPr>
                <w:rFonts w:asciiTheme="majorHAnsi" w:hAnsiTheme="majorHAnsi" w:cs="Times New Roman"/>
                <w:b/>
                <w:bCs/>
                <w:kern w:val="28"/>
                <w:szCs w:val="22"/>
                <w:lang w:val="fr-FR" w:eastAsia="fr-FR"/>
              </w:rPr>
              <w:t>doter les tanneries de machines adéquates pour des cuirs de qualite</w:t>
            </w:r>
          </w:p>
          <w:p w14:paraId="57A1C7DE" w14:textId="0F220606" w:rsidR="005807F8" w:rsidRPr="003C0C11" w:rsidRDefault="00E65641" w:rsidP="00374FEE">
            <w:pPr>
              <w:pStyle w:val="Paragraphedeliste"/>
              <w:numPr>
                <w:ilvl w:val="0"/>
                <w:numId w:val="28"/>
              </w:numPr>
              <w:spacing w:before="0" w:after="0"/>
              <w:ind w:right="57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  <w:r w:rsidRPr="003C0C11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l</w:t>
            </w:r>
            <w:r w:rsidR="005807F8" w:rsidRPr="003C0C11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a </w:t>
            </w:r>
            <w:r w:rsidR="009842FC" w:rsidRPr="003C0C11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création</w:t>
            </w:r>
            <w:r w:rsidR="005807F8" w:rsidRPr="003C0C11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de regroupements comme Arr dalou Ngaye</w:t>
            </w:r>
            <w:r w:rsidR="009842FC" w:rsidRPr="003C0C11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et UAME</w:t>
            </w:r>
          </w:p>
          <w:p w14:paraId="11E87F98" w14:textId="77777777" w:rsidR="009842FC" w:rsidRPr="003C0C11" w:rsidRDefault="009842FC" w:rsidP="00374FEE">
            <w:pPr>
              <w:spacing w:before="0" w:after="0"/>
              <w:ind w:left="113" w:right="57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</w:p>
          <w:p w14:paraId="52B4E754" w14:textId="77777777" w:rsidR="009842FC" w:rsidRPr="000801A9" w:rsidRDefault="009842FC" w:rsidP="00374FEE">
            <w:pPr>
              <w:spacing w:before="0" w:after="0"/>
              <w:ind w:left="113" w:right="57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</w:p>
          <w:p w14:paraId="5DB89656" w14:textId="3E591CBE" w:rsidR="001957E2" w:rsidRPr="000801A9" w:rsidRDefault="001957E2" w:rsidP="00374FEE">
            <w:pPr>
              <w:pStyle w:val="Paragraphedeliste"/>
              <w:spacing w:before="0" w:after="0"/>
              <w:ind w:left="502" w:right="57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791564" w14:paraId="682003BF" w14:textId="77777777" w:rsidTr="001A03A6">
        <w:tc>
          <w:tcPr>
            <w:tcW w:w="568" w:type="dxa"/>
            <w:shd w:val="clear" w:color="auto" w:fill="F2F2F2"/>
          </w:tcPr>
          <w:p w14:paraId="0D821687" w14:textId="1F73B2D4" w:rsidR="00C92ED6" w:rsidRPr="000801A9" w:rsidRDefault="00C92ED6" w:rsidP="009B2982">
            <w:pPr>
              <w:spacing w:before="80" w:after="0" w:line="200" w:lineRule="exact"/>
              <w:jc w:val="right"/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  <w:lastRenderedPageBreak/>
              <w:t>4.</w:t>
            </w:r>
          </w:p>
        </w:tc>
        <w:tc>
          <w:tcPr>
            <w:tcW w:w="9214" w:type="dxa"/>
            <w:shd w:val="clear" w:color="auto" w:fill="F2F2F2"/>
          </w:tcPr>
          <w:p w14:paraId="52A6E806" w14:textId="77777777" w:rsidR="00C92ED6" w:rsidRPr="000801A9" w:rsidRDefault="00F25AE7" w:rsidP="00374FEE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bCs/>
                <w:caps/>
                <w:snapToGrid/>
                <w:szCs w:val="22"/>
                <w:lang w:val="fr-FR" w:eastAsia="fr-FR"/>
              </w:rPr>
              <w:t>ACCES RESTREINT AUX DONNEES ET AUTORISATIONS</w:t>
            </w:r>
            <w:r w:rsidR="00C92ED6" w:rsidRPr="000801A9">
              <w:rPr>
                <w:rFonts w:asciiTheme="majorHAnsi" w:hAnsiTheme="majorHAnsi" w:cs="Times New Roman"/>
                <w:b/>
                <w:bCs/>
                <w:caps/>
                <w:snapToGrid/>
                <w:szCs w:val="22"/>
                <w:lang w:val="fr-FR" w:eastAsia="fr-FR"/>
              </w:rPr>
              <w:t xml:space="preserve"> </w:t>
            </w:r>
          </w:p>
        </w:tc>
      </w:tr>
      <w:tr w:rsidR="00C92ED6" w:rsidRPr="00791564" w14:paraId="01327025" w14:textId="77777777" w:rsidTr="001A03A6">
        <w:tc>
          <w:tcPr>
            <w:tcW w:w="568" w:type="dxa"/>
            <w:shd w:val="clear" w:color="auto" w:fill="auto"/>
          </w:tcPr>
          <w:p w14:paraId="2F3CA0DC" w14:textId="77777777" w:rsidR="00C92ED6" w:rsidRPr="000801A9" w:rsidRDefault="00C92ED6" w:rsidP="009B2982">
            <w:pPr>
              <w:spacing w:before="80" w:after="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4.1.</w:t>
            </w:r>
          </w:p>
        </w:tc>
        <w:tc>
          <w:tcPr>
            <w:tcW w:w="9214" w:type="dxa"/>
            <w:shd w:val="clear" w:color="auto" w:fill="auto"/>
          </w:tcPr>
          <w:p w14:paraId="1FF37B57" w14:textId="77777777" w:rsidR="00C92ED6" w:rsidRPr="000801A9" w:rsidRDefault="00C92ED6" w:rsidP="009B2982">
            <w:pPr>
              <w:spacing w:before="80" w:after="0" w:line="200" w:lineRule="exact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Consentement et participation de la (des) communauté(s) concernée(s) au recueil des données</w:t>
            </w:r>
          </w:p>
          <w:p w14:paraId="43F3F608" w14:textId="3FF418B1" w:rsidR="00D272DF" w:rsidRPr="000801A9" w:rsidRDefault="00C46746" w:rsidP="00DB52ED">
            <w:pPr>
              <w:spacing w:before="80" w:after="0" w:line="200" w:lineRule="exact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DB52ED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Participation et consentement de la communauté qui a pleinement collaboré</w:t>
            </w:r>
            <w:r w:rsidR="001A00CD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à l’enquête </w:t>
            </w:r>
          </w:p>
        </w:tc>
      </w:tr>
      <w:tr w:rsidR="00C92ED6" w:rsidRPr="00791564" w14:paraId="1C72236F" w14:textId="77777777" w:rsidTr="001A03A6">
        <w:tc>
          <w:tcPr>
            <w:tcW w:w="568" w:type="dxa"/>
            <w:shd w:val="clear" w:color="auto" w:fill="auto"/>
          </w:tcPr>
          <w:p w14:paraId="0704E9C0" w14:textId="77777777" w:rsidR="00C92ED6" w:rsidRPr="000801A9" w:rsidRDefault="00C92ED6" w:rsidP="00A76592">
            <w:pPr>
              <w:spacing w:before="80" w:after="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4.2.</w:t>
            </w:r>
          </w:p>
        </w:tc>
        <w:tc>
          <w:tcPr>
            <w:tcW w:w="9214" w:type="dxa"/>
            <w:shd w:val="clear" w:color="auto" w:fill="auto"/>
          </w:tcPr>
          <w:p w14:paraId="196EDEE6" w14:textId="77777777" w:rsidR="00C92ED6" w:rsidRPr="000801A9" w:rsidRDefault="00C92ED6" w:rsidP="00A76592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Restrictions et autorisations concernant les données</w:t>
            </w:r>
          </w:p>
          <w:p w14:paraId="628827F7" w14:textId="755E95BE" w:rsidR="008F168E" w:rsidRPr="000801A9" w:rsidRDefault="00A10884" w:rsidP="00A76592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Il n’y a pas eu de restriction concernant la mise à disposition </w:t>
            </w:r>
            <w:r w:rsidR="0020074B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des données.</w:t>
            </w:r>
          </w:p>
        </w:tc>
      </w:tr>
      <w:tr w:rsidR="00C92ED6" w:rsidRPr="00791564" w14:paraId="0AAA9234" w14:textId="77777777" w:rsidTr="001A03A6">
        <w:tc>
          <w:tcPr>
            <w:tcW w:w="568" w:type="dxa"/>
            <w:shd w:val="clear" w:color="auto" w:fill="auto"/>
          </w:tcPr>
          <w:p w14:paraId="61C61C4F" w14:textId="77777777" w:rsidR="00C92ED6" w:rsidRPr="000801A9" w:rsidRDefault="00C92ED6" w:rsidP="00326876">
            <w:pPr>
              <w:spacing w:before="80" w:after="0" w:line="200" w:lineRule="exac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4.3.</w:t>
            </w:r>
          </w:p>
        </w:tc>
        <w:tc>
          <w:tcPr>
            <w:tcW w:w="9214" w:type="dxa"/>
            <w:shd w:val="clear" w:color="auto" w:fill="auto"/>
          </w:tcPr>
          <w:p w14:paraId="71749DC8" w14:textId="21D5F3D9" w:rsidR="00326876" w:rsidRPr="00326876" w:rsidRDefault="00C92ED6" w:rsidP="00326876">
            <w:pPr>
              <w:spacing w:before="80" w:after="0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Personne(s) ressource(s) : nom et statut </w:t>
            </w:r>
          </w:p>
          <w:p w14:paraId="14FB6DB8" w14:textId="556B439B" w:rsidR="002D181D" w:rsidRPr="000801A9" w:rsidRDefault="007F2AD5" w:rsidP="00A76592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Monsieur A</w:t>
            </w:r>
            <w:r w:rsidR="004F6DE7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ssane 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Kassé</w:t>
            </w:r>
            <w:r w:rsidR="004F6DE7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président de l’U</w:t>
            </w:r>
            <w:r w:rsidR="00C035DA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AME</w:t>
            </w:r>
            <w:r w:rsidR="001112DA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(Union</w:t>
            </w:r>
            <w:r w:rsidR="00B75FC7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des Artisans de </w:t>
            </w:r>
            <w:r w:rsidR="001112DA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Mékhé</w:t>
            </w:r>
            <w:r w:rsidR="00B75FC7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et Environ</w:t>
            </w:r>
            <w:r w:rsidR="001112DA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)</w:t>
            </w:r>
          </w:p>
          <w:p w14:paraId="0838EB61" w14:textId="5885EAA6" w:rsidR="00256302" w:rsidRPr="000801A9" w:rsidRDefault="008A5D8D" w:rsidP="00A76592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Monsieur </w:t>
            </w:r>
            <w:r w:rsidR="002228E2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Guisse  président du G I E</w:t>
            </w:r>
            <w:r w:rsidR="004F6DE7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AF102C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Arr</w:t>
            </w:r>
            <w:r w:rsidR="004F6DE7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DC5C95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Dalou</w:t>
            </w:r>
            <w:r w:rsidR="004F6DE7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DC5C95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Ngaay</w:t>
            </w:r>
          </w:p>
        </w:tc>
      </w:tr>
      <w:tr w:rsidR="00C92ED6" w:rsidRPr="000801A9" w14:paraId="1E22746D" w14:textId="77777777" w:rsidTr="001A03A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CB77D94" w14:textId="77777777" w:rsidR="00C92ED6" w:rsidRPr="000801A9" w:rsidRDefault="00C92ED6" w:rsidP="00A76592">
            <w:pPr>
              <w:spacing w:before="80" w:after="0" w:line="200" w:lineRule="exact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4.4.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644F9379" w14:textId="77777777" w:rsidR="00C92ED6" w:rsidRPr="000801A9" w:rsidRDefault="00C92ED6" w:rsidP="00A76592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Date(s) et lieu(x) de recueil des données</w:t>
            </w:r>
          </w:p>
          <w:p w14:paraId="36596272" w14:textId="6662A33C" w:rsidR="00A76592" w:rsidRPr="000801A9" w:rsidRDefault="004F6DE7" w:rsidP="00A76592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Ngaye, mercredi 10 avril 2019</w:t>
            </w:r>
          </w:p>
        </w:tc>
      </w:tr>
      <w:tr w:rsidR="00C92ED6" w:rsidRPr="00791564" w14:paraId="7FC8997F" w14:textId="77777777" w:rsidTr="001A03A6">
        <w:tc>
          <w:tcPr>
            <w:tcW w:w="568" w:type="dxa"/>
            <w:shd w:val="clear" w:color="auto" w:fill="F2F2F2"/>
          </w:tcPr>
          <w:p w14:paraId="2AD9383D" w14:textId="77777777" w:rsidR="00C92ED6" w:rsidRPr="000801A9" w:rsidRDefault="00C92ED6" w:rsidP="00C92ED6">
            <w:pPr>
              <w:spacing w:before="80" w:after="80" w:line="200" w:lineRule="exact"/>
              <w:jc w:val="right"/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  <w:t>5.</w:t>
            </w:r>
          </w:p>
        </w:tc>
        <w:tc>
          <w:tcPr>
            <w:tcW w:w="9214" w:type="dxa"/>
            <w:shd w:val="clear" w:color="auto" w:fill="F2F2F2"/>
          </w:tcPr>
          <w:p w14:paraId="6A4F504D" w14:textId="77777777" w:rsidR="00C92ED6" w:rsidRPr="000801A9" w:rsidRDefault="00C92ED6" w:rsidP="00C92ED6">
            <w:pPr>
              <w:spacing w:before="80" w:after="80" w:line="200" w:lineRule="exact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bCs/>
                <w:caps/>
                <w:snapToGrid/>
                <w:szCs w:val="22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791564" w14:paraId="1EF67487" w14:textId="77777777" w:rsidTr="001A03A6">
        <w:tc>
          <w:tcPr>
            <w:tcW w:w="568" w:type="dxa"/>
            <w:shd w:val="clear" w:color="auto" w:fill="auto"/>
          </w:tcPr>
          <w:p w14:paraId="4DB5A32F" w14:textId="77777777" w:rsidR="00C92ED6" w:rsidRPr="000801A9" w:rsidRDefault="00C92ED6" w:rsidP="00F10CCA">
            <w:pPr>
              <w:spacing w:before="80" w:after="0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5.1.</w:t>
            </w:r>
          </w:p>
        </w:tc>
        <w:tc>
          <w:tcPr>
            <w:tcW w:w="9214" w:type="dxa"/>
            <w:shd w:val="clear" w:color="auto" w:fill="auto"/>
          </w:tcPr>
          <w:p w14:paraId="08A173B6" w14:textId="77777777" w:rsidR="00C92ED6" w:rsidRPr="000801A9" w:rsidRDefault="00172A30" w:rsidP="00F10CCA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Monographies / Manuscrits</w:t>
            </w:r>
            <w:r w:rsidR="00A16589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conservés dans des bibliothèques, librairies ou détenus par des particuliers</w:t>
            </w:r>
          </w:p>
          <w:p w14:paraId="4C421A44" w14:textId="25660380" w:rsidR="00EB3679" w:rsidRPr="000801A9" w:rsidRDefault="00EB3679" w:rsidP="00F10CCA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791564" w14:paraId="4BF5BCC5" w14:textId="77777777" w:rsidTr="001A03A6">
        <w:tc>
          <w:tcPr>
            <w:tcW w:w="568" w:type="dxa"/>
            <w:shd w:val="clear" w:color="auto" w:fill="auto"/>
          </w:tcPr>
          <w:p w14:paraId="6FE12001" w14:textId="77777777" w:rsidR="00C92ED6" w:rsidRPr="000801A9" w:rsidRDefault="00C92ED6" w:rsidP="00F10CCA">
            <w:pPr>
              <w:spacing w:before="80" w:after="0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5.2.</w:t>
            </w:r>
          </w:p>
        </w:tc>
        <w:tc>
          <w:tcPr>
            <w:tcW w:w="9214" w:type="dxa"/>
            <w:shd w:val="clear" w:color="auto" w:fill="auto"/>
          </w:tcPr>
          <w:p w14:paraId="733928A9" w14:textId="77777777" w:rsidR="00C92ED6" w:rsidRPr="000801A9" w:rsidRDefault="00A16589" w:rsidP="00F10CCA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Enregistrements</w:t>
            </w:r>
            <w:r w:rsidR="00C92ED6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audiovisuel</w:t>
            </w: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s</w:t>
            </w:r>
            <w:r w:rsidR="00C92ED6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conservés dans des archives, musées et collections privées (le cas échéant)</w:t>
            </w:r>
          </w:p>
          <w:p w14:paraId="2A95B2B6" w14:textId="424E6A41" w:rsidR="00853B20" w:rsidRPr="000801A9" w:rsidRDefault="00853B20" w:rsidP="00F10CCA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791564" w14:paraId="043971B4" w14:textId="77777777" w:rsidTr="001A03A6">
        <w:tc>
          <w:tcPr>
            <w:tcW w:w="568" w:type="dxa"/>
            <w:shd w:val="clear" w:color="auto" w:fill="auto"/>
          </w:tcPr>
          <w:p w14:paraId="2D57A470" w14:textId="77777777" w:rsidR="00C92ED6" w:rsidRPr="000801A9" w:rsidRDefault="00C92ED6" w:rsidP="00F10CCA">
            <w:pPr>
              <w:spacing w:before="80" w:after="0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5.3.</w:t>
            </w:r>
          </w:p>
        </w:tc>
        <w:tc>
          <w:tcPr>
            <w:tcW w:w="9214" w:type="dxa"/>
            <w:shd w:val="clear" w:color="auto" w:fill="auto"/>
          </w:tcPr>
          <w:p w14:paraId="28016E67" w14:textId="77777777" w:rsidR="00C92ED6" w:rsidRPr="000801A9" w:rsidRDefault="00A16589" w:rsidP="00F10CCA">
            <w:pPr>
              <w:spacing w:before="80" w:after="0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O</w:t>
            </w:r>
            <w:r w:rsidR="00C92ED6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bjets conservés dans des archives, musées et collections privées (le cas échéant)</w:t>
            </w:r>
          </w:p>
          <w:p w14:paraId="164C327C" w14:textId="4EC546B9" w:rsidR="00853B20" w:rsidRPr="000801A9" w:rsidRDefault="00853B20" w:rsidP="00F10CCA">
            <w:pPr>
              <w:spacing w:before="80" w:after="0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0801A9" w14:paraId="54EFB5FC" w14:textId="77777777" w:rsidTr="001A03A6">
        <w:tc>
          <w:tcPr>
            <w:tcW w:w="568" w:type="dxa"/>
            <w:shd w:val="clear" w:color="auto" w:fill="F2F2F2"/>
          </w:tcPr>
          <w:p w14:paraId="2ACBB1C7" w14:textId="77777777" w:rsidR="00C92ED6" w:rsidRPr="000801A9" w:rsidRDefault="00C92ED6" w:rsidP="00F10CCA">
            <w:pPr>
              <w:spacing w:before="80" w:after="0"/>
              <w:jc w:val="right"/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zCs w:val="22"/>
                <w:lang w:val="fr-FR" w:eastAsia="fr-FR"/>
              </w:rPr>
              <w:t>6.</w:t>
            </w:r>
          </w:p>
        </w:tc>
        <w:tc>
          <w:tcPr>
            <w:tcW w:w="9214" w:type="dxa"/>
            <w:shd w:val="clear" w:color="auto" w:fill="F2F2F2"/>
          </w:tcPr>
          <w:p w14:paraId="636FD949" w14:textId="77777777" w:rsidR="00C92ED6" w:rsidRPr="000801A9" w:rsidRDefault="00C92ED6" w:rsidP="00F10CCA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bCs/>
                <w:caps/>
                <w:snapToGrid/>
                <w:szCs w:val="22"/>
                <w:lang w:val="en-GB" w:eastAsia="fr-FR"/>
              </w:rPr>
              <w:t>Données d’inventaire</w:t>
            </w:r>
          </w:p>
        </w:tc>
      </w:tr>
      <w:tr w:rsidR="00C92ED6" w:rsidRPr="00791564" w14:paraId="4035D5A2" w14:textId="77777777" w:rsidTr="001A03A6">
        <w:tc>
          <w:tcPr>
            <w:tcW w:w="568" w:type="dxa"/>
            <w:shd w:val="clear" w:color="auto" w:fill="auto"/>
          </w:tcPr>
          <w:p w14:paraId="0B25770A" w14:textId="77777777" w:rsidR="00C92ED6" w:rsidRPr="000801A9" w:rsidRDefault="00C92ED6" w:rsidP="00F10CCA">
            <w:pPr>
              <w:spacing w:before="80" w:after="0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6.1.</w:t>
            </w:r>
          </w:p>
        </w:tc>
        <w:tc>
          <w:tcPr>
            <w:tcW w:w="9214" w:type="dxa"/>
            <w:shd w:val="clear" w:color="auto" w:fill="auto"/>
          </w:tcPr>
          <w:p w14:paraId="1A75EAB3" w14:textId="77777777" w:rsidR="00C92ED6" w:rsidRPr="000801A9" w:rsidRDefault="00C92ED6" w:rsidP="00223517">
            <w:pPr>
              <w:spacing w:before="80" w:after="0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Nom </w:t>
            </w:r>
            <w:r w:rsidR="00F355F4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et contacts </w:t>
            </w: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de la pe</w:t>
            </w:r>
            <w:r w:rsidR="00172A30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rsonne(s) ayant compilé les données</w:t>
            </w: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de l’inventaire</w:t>
            </w:r>
          </w:p>
          <w:p w14:paraId="38B9874E" w14:textId="3D6677ED" w:rsidR="005D747C" w:rsidRPr="000801A9" w:rsidRDefault="005D747C" w:rsidP="00223517">
            <w:pPr>
              <w:spacing w:before="80" w:after="0"/>
              <w:jc w:val="left"/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SAMBA KANDE</w:t>
            </w:r>
            <w:r w:rsidR="00336D4F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Animateur culturel</w:t>
            </w:r>
            <w:r w:rsidR="00440363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,</w:t>
            </w:r>
            <w:r w:rsidR="00440363" w:rsidRPr="000801A9">
              <w:rPr>
                <w:rFonts w:asciiTheme="majorHAnsi" w:hAnsiTheme="majorHAnsi"/>
                <w:b/>
                <w:snapToGrid/>
                <w:szCs w:val="22"/>
                <w:lang w:val="fr-FR" w:eastAsia="fr-FR"/>
              </w:rPr>
              <w:t xml:space="preserve"> Gestionnaire des industries culturelles,</w:t>
            </w:r>
            <w:r w:rsidR="00336D4F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CCR/T</w:t>
            </w:r>
            <w:r w:rsidR="00951C6A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hies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776483904</w:t>
            </w:r>
          </w:p>
          <w:p w14:paraId="37548317" w14:textId="54716AE5" w:rsidR="005D747C" w:rsidRPr="000801A9" w:rsidRDefault="005D747C" w:rsidP="00223517">
            <w:pPr>
              <w:spacing w:before="80" w:after="0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SADIBOU  DABO</w:t>
            </w:r>
            <w:r w:rsidR="007F1DE0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Professeur </w:t>
            </w:r>
            <w:r w:rsidR="001608FD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d’histoire </w:t>
            </w:r>
            <w:r w:rsidR="00F007E6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et de géographie </w:t>
            </w:r>
            <w:r w:rsidR="001608FD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à la </w:t>
            </w:r>
            <w:r w:rsidR="00223517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retraite, Gestionnaire</w:t>
            </w:r>
            <w:r w:rsidR="00636AE1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Espace Kankourang Mbour</w:t>
            </w: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9333DA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774309367</w:t>
            </w:r>
            <w:r w:rsidR="007F1DE0"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 xml:space="preserve"> </w:t>
            </w:r>
          </w:p>
        </w:tc>
      </w:tr>
      <w:tr w:rsidR="00C92ED6" w:rsidRPr="00791564" w14:paraId="75FB06DF" w14:textId="77777777" w:rsidTr="001A03A6">
        <w:tc>
          <w:tcPr>
            <w:tcW w:w="568" w:type="dxa"/>
            <w:shd w:val="clear" w:color="auto" w:fill="auto"/>
          </w:tcPr>
          <w:p w14:paraId="6C517E3E" w14:textId="4088909B" w:rsidR="00C92ED6" w:rsidRPr="000801A9" w:rsidRDefault="00C92ED6" w:rsidP="00F10CCA">
            <w:pPr>
              <w:spacing w:before="80" w:after="0"/>
              <w:jc w:val="right"/>
              <w:rPr>
                <w:rFonts w:asciiTheme="majorHAnsi" w:hAnsiTheme="majorHAnsi" w:cs="Times New Roman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6.2.</w:t>
            </w:r>
          </w:p>
        </w:tc>
        <w:tc>
          <w:tcPr>
            <w:tcW w:w="9214" w:type="dxa"/>
            <w:shd w:val="clear" w:color="auto" w:fill="auto"/>
          </w:tcPr>
          <w:p w14:paraId="54CA57DD" w14:textId="77777777" w:rsidR="00C92ED6" w:rsidRPr="000801A9" w:rsidRDefault="00C92ED6" w:rsidP="00F10CCA">
            <w:pPr>
              <w:spacing w:before="80" w:after="0"/>
              <w:ind w:left="113" w:right="57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14:paraId="0D64FAED" w14:textId="7A4BA011" w:rsidR="00717DDD" w:rsidRPr="000801A9" w:rsidRDefault="00E5640E" w:rsidP="00F10CCA">
            <w:pPr>
              <w:spacing w:before="80" w:after="0"/>
              <w:ind w:left="113" w:right="57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attestation</w:t>
            </w:r>
            <w:r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 xml:space="preserve"> signée par le président de l’UAME</w:t>
            </w:r>
          </w:p>
        </w:tc>
      </w:tr>
      <w:tr w:rsidR="00C92ED6" w:rsidRPr="000801A9" w14:paraId="1502BBEA" w14:textId="77777777" w:rsidTr="001A03A6">
        <w:tc>
          <w:tcPr>
            <w:tcW w:w="568" w:type="dxa"/>
            <w:shd w:val="clear" w:color="auto" w:fill="auto"/>
          </w:tcPr>
          <w:p w14:paraId="3A43A2BB" w14:textId="77777777" w:rsidR="00C92ED6" w:rsidRPr="000801A9" w:rsidRDefault="00C92ED6" w:rsidP="00F10CCA">
            <w:pPr>
              <w:spacing w:before="80" w:after="0"/>
              <w:jc w:val="righ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zCs w:val="22"/>
                <w:lang w:val="fr-FR" w:eastAsia="fr-FR"/>
              </w:rPr>
              <w:t>6.3.</w:t>
            </w:r>
          </w:p>
        </w:tc>
        <w:tc>
          <w:tcPr>
            <w:tcW w:w="9214" w:type="dxa"/>
            <w:shd w:val="clear" w:color="auto" w:fill="auto"/>
          </w:tcPr>
          <w:p w14:paraId="0FAFCF4E" w14:textId="77777777" w:rsidR="00C92ED6" w:rsidRPr="000801A9" w:rsidRDefault="00C92ED6" w:rsidP="00F10CCA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snapToGrid/>
                <w:szCs w:val="22"/>
                <w:lang w:val="fr-FR" w:eastAsia="fr-FR"/>
              </w:rPr>
              <w:t>Date d’enregistrement des données à l’inventaire</w:t>
            </w:r>
          </w:p>
          <w:p w14:paraId="4FC6B461" w14:textId="58B23321" w:rsidR="00B220E8" w:rsidRPr="000801A9" w:rsidRDefault="001608FD" w:rsidP="00F10CCA">
            <w:pPr>
              <w:spacing w:before="80" w:after="0"/>
              <w:ind w:left="113"/>
              <w:jc w:val="left"/>
              <w:rPr>
                <w:rFonts w:asciiTheme="majorHAnsi" w:hAnsiTheme="majorHAnsi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Mercredi 10 avril 2019</w:t>
            </w:r>
          </w:p>
        </w:tc>
      </w:tr>
    </w:tbl>
    <w:p w14:paraId="37F6E0BC" w14:textId="513F5481" w:rsidR="0043665E" w:rsidRPr="000801A9" w:rsidRDefault="0043665E" w:rsidP="00F10CCA">
      <w:pPr>
        <w:pStyle w:val="Texte1"/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sectPr w:rsidR="0043665E" w:rsidRPr="000801A9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E65D5" w14:textId="77777777" w:rsidR="00382409" w:rsidRDefault="00382409" w:rsidP="0043665E">
      <w:pPr>
        <w:spacing w:before="0" w:after="0"/>
      </w:pPr>
      <w:r>
        <w:separator/>
      </w:r>
    </w:p>
  </w:endnote>
  <w:endnote w:type="continuationSeparator" w:id="0">
    <w:p w14:paraId="75D93942" w14:textId="77777777" w:rsidR="00382409" w:rsidRDefault="00382409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8930A" w14:textId="069E7EE7"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8FB73" w14:textId="36E944F6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430DD" w14:textId="3D0DC66E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E7737" w14:textId="77777777" w:rsidR="00382409" w:rsidRDefault="00382409" w:rsidP="0043665E">
      <w:pPr>
        <w:spacing w:before="0" w:after="0"/>
      </w:pPr>
      <w:r>
        <w:separator/>
      </w:r>
    </w:p>
  </w:footnote>
  <w:footnote w:type="continuationSeparator" w:id="0">
    <w:p w14:paraId="0A22E960" w14:textId="77777777" w:rsidR="00382409" w:rsidRDefault="00382409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3B4C" w14:textId="67D27A77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175727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B2E3" w14:textId="54824B4B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175727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543B" w14:textId="10B104E5"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42DC8"/>
    <w:multiLevelType w:val="hybridMultilevel"/>
    <w:tmpl w:val="0C160BB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38B5CD2"/>
    <w:multiLevelType w:val="hybridMultilevel"/>
    <w:tmpl w:val="59E29DD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E37660F"/>
    <w:multiLevelType w:val="hybridMultilevel"/>
    <w:tmpl w:val="109A3208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01FD5"/>
    <w:multiLevelType w:val="hybridMultilevel"/>
    <w:tmpl w:val="7A4EA3D0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CD00E5E"/>
    <w:multiLevelType w:val="hybridMultilevel"/>
    <w:tmpl w:val="A4723AF8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2"/>
  </w:num>
  <w:num w:numId="6">
    <w:abstractNumId w:val="6"/>
  </w:num>
  <w:num w:numId="7">
    <w:abstractNumId w:val="21"/>
  </w:num>
  <w:num w:numId="8">
    <w:abstractNumId w:val="14"/>
  </w:num>
  <w:num w:numId="9">
    <w:abstractNumId w:val="18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22"/>
  </w:num>
  <w:num w:numId="18">
    <w:abstractNumId w:val="26"/>
  </w:num>
  <w:num w:numId="19">
    <w:abstractNumId w:val="7"/>
  </w:num>
  <w:num w:numId="20">
    <w:abstractNumId w:val="19"/>
  </w:num>
  <w:num w:numId="21">
    <w:abstractNumId w:val="20"/>
  </w:num>
  <w:num w:numId="22">
    <w:abstractNumId w:val="4"/>
  </w:num>
  <w:num w:numId="23">
    <w:abstractNumId w:val="23"/>
  </w:num>
  <w:num w:numId="24">
    <w:abstractNumId w:val="16"/>
  </w:num>
  <w:num w:numId="25">
    <w:abstractNumId w:val="17"/>
  </w:num>
  <w:num w:numId="26">
    <w:abstractNumId w:val="25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06E8A"/>
    <w:rsid w:val="000135FE"/>
    <w:rsid w:val="00015D6A"/>
    <w:rsid w:val="00034BC4"/>
    <w:rsid w:val="000436FB"/>
    <w:rsid w:val="00063F48"/>
    <w:rsid w:val="000801A9"/>
    <w:rsid w:val="000B3112"/>
    <w:rsid w:val="000B78D1"/>
    <w:rsid w:val="000D10C4"/>
    <w:rsid w:val="000D1384"/>
    <w:rsid w:val="000D5BC9"/>
    <w:rsid w:val="000D5BED"/>
    <w:rsid w:val="000D5C0A"/>
    <w:rsid w:val="000E13A0"/>
    <w:rsid w:val="000E160D"/>
    <w:rsid w:val="000E78D9"/>
    <w:rsid w:val="000F3397"/>
    <w:rsid w:val="0010794A"/>
    <w:rsid w:val="00110A5A"/>
    <w:rsid w:val="001112DA"/>
    <w:rsid w:val="00117203"/>
    <w:rsid w:val="0012187F"/>
    <w:rsid w:val="001221FF"/>
    <w:rsid w:val="00123F63"/>
    <w:rsid w:val="00150A49"/>
    <w:rsid w:val="00150BEC"/>
    <w:rsid w:val="00154843"/>
    <w:rsid w:val="00156BA5"/>
    <w:rsid w:val="001608FD"/>
    <w:rsid w:val="00172A30"/>
    <w:rsid w:val="00175727"/>
    <w:rsid w:val="00182DE5"/>
    <w:rsid w:val="00184690"/>
    <w:rsid w:val="0018602B"/>
    <w:rsid w:val="001957E2"/>
    <w:rsid w:val="001A00CD"/>
    <w:rsid w:val="001A03A6"/>
    <w:rsid w:val="001B689F"/>
    <w:rsid w:val="001C5691"/>
    <w:rsid w:val="001D33AB"/>
    <w:rsid w:val="001D3FA4"/>
    <w:rsid w:val="001F1C0E"/>
    <w:rsid w:val="001F4A90"/>
    <w:rsid w:val="0020074B"/>
    <w:rsid w:val="00201737"/>
    <w:rsid w:val="00206BD3"/>
    <w:rsid w:val="002228E2"/>
    <w:rsid w:val="00223517"/>
    <w:rsid w:val="00244A64"/>
    <w:rsid w:val="00256302"/>
    <w:rsid w:val="0026188F"/>
    <w:rsid w:val="00263A84"/>
    <w:rsid w:val="002736D3"/>
    <w:rsid w:val="00284583"/>
    <w:rsid w:val="00294A29"/>
    <w:rsid w:val="002A128C"/>
    <w:rsid w:val="002B0410"/>
    <w:rsid w:val="002B2086"/>
    <w:rsid w:val="002C60A7"/>
    <w:rsid w:val="002D181D"/>
    <w:rsid w:val="002D6A0A"/>
    <w:rsid w:val="002E1C09"/>
    <w:rsid w:val="002E6D6F"/>
    <w:rsid w:val="003232EB"/>
    <w:rsid w:val="00326876"/>
    <w:rsid w:val="0033320D"/>
    <w:rsid w:val="003342CA"/>
    <w:rsid w:val="00336D4F"/>
    <w:rsid w:val="00340E80"/>
    <w:rsid w:val="00342E35"/>
    <w:rsid w:val="003467F8"/>
    <w:rsid w:val="00347329"/>
    <w:rsid w:val="00362809"/>
    <w:rsid w:val="00374FEE"/>
    <w:rsid w:val="00382409"/>
    <w:rsid w:val="0038295C"/>
    <w:rsid w:val="003A4415"/>
    <w:rsid w:val="003B46E0"/>
    <w:rsid w:val="003B54DF"/>
    <w:rsid w:val="003C0C11"/>
    <w:rsid w:val="003C156B"/>
    <w:rsid w:val="003D0F67"/>
    <w:rsid w:val="003D76C8"/>
    <w:rsid w:val="003E1AEE"/>
    <w:rsid w:val="003F78BD"/>
    <w:rsid w:val="00401CF5"/>
    <w:rsid w:val="0043665E"/>
    <w:rsid w:val="00440363"/>
    <w:rsid w:val="004554D5"/>
    <w:rsid w:val="00461588"/>
    <w:rsid w:val="0048083D"/>
    <w:rsid w:val="00490480"/>
    <w:rsid w:val="00491056"/>
    <w:rsid w:val="00494783"/>
    <w:rsid w:val="004E5F40"/>
    <w:rsid w:val="004F6DE7"/>
    <w:rsid w:val="0051019F"/>
    <w:rsid w:val="00511F9B"/>
    <w:rsid w:val="005151D1"/>
    <w:rsid w:val="005153F6"/>
    <w:rsid w:val="0051640F"/>
    <w:rsid w:val="00524023"/>
    <w:rsid w:val="00531703"/>
    <w:rsid w:val="00570E5B"/>
    <w:rsid w:val="00572802"/>
    <w:rsid w:val="005732C3"/>
    <w:rsid w:val="0057444B"/>
    <w:rsid w:val="005777B2"/>
    <w:rsid w:val="005807F8"/>
    <w:rsid w:val="00584899"/>
    <w:rsid w:val="00585788"/>
    <w:rsid w:val="00585DA3"/>
    <w:rsid w:val="00587373"/>
    <w:rsid w:val="005911D9"/>
    <w:rsid w:val="005A1B63"/>
    <w:rsid w:val="005C7FA6"/>
    <w:rsid w:val="005D395D"/>
    <w:rsid w:val="005D747C"/>
    <w:rsid w:val="005E6DC4"/>
    <w:rsid w:val="0060566B"/>
    <w:rsid w:val="00610F76"/>
    <w:rsid w:val="00611EF4"/>
    <w:rsid w:val="0061743C"/>
    <w:rsid w:val="00622AA1"/>
    <w:rsid w:val="00623DE9"/>
    <w:rsid w:val="0062450C"/>
    <w:rsid w:val="006263CE"/>
    <w:rsid w:val="00636AE1"/>
    <w:rsid w:val="0064110C"/>
    <w:rsid w:val="006418D2"/>
    <w:rsid w:val="006577BC"/>
    <w:rsid w:val="00660044"/>
    <w:rsid w:val="00670B71"/>
    <w:rsid w:val="006942BD"/>
    <w:rsid w:val="0069511B"/>
    <w:rsid w:val="0069536C"/>
    <w:rsid w:val="00696EF5"/>
    <w:rsid w:val="006A1CC7"/>
    <w:rsid w:val="006A433B"/>
    <w:rsid w:val="006A4675"/>
    <w:rsid w:val="006C356A"/>
    <w:rsid w:val="006D4E7D"/>
    <w:rsid w:val="006E2B59"/>
    <w:rsid w:val="006E39B5"/>
    <w:rsid w:val="006E6E22"/>
    <w:rsid w:val="006F244A"/>
    <w:rsid w:val="00711D88"/>
    <w:rsid w:val="00717DDD"/>
    <w:rsid w:val="00721454"/>
    <w:rsid w:val="007237F6"/>
    <w:rsid w:val="007254B2"/>
    <w:rsid w:val="00725B04"/>
    <w:rsid w:val="00747B5E"/>
    <w:rsid w:val="00777843"/>
    <w:rsid w:val="00782E2F"/>
    <w:rsid w:val="00791564"/>
    <w:rsid w:val="007D1237"/>
    <w:rsid w:val="007D3D1C"/>
    <w:rsid w:val="007D66AD"/>
    <w:rsid w:val="007E208F"/>
    <w:rsid w:val="007E2F0D"/>
    <w:rsid w:val="007F08A3"/>
    <w:rsid w:val="007F1DE0"/>
    <w:rsid w:val="007F2AD5"/>
    <w:rsid w:val="00810966"/>
    <w:rsid w:val="0081520B"/>
    <w:rsid w:val="00816E8B"/>
    <w:rsid w:val="00821E31"/>
    <w:rsid w:val="0082504B"/>
    <w:rsid w:val="008419BE"/>
    <w:rsid w:val="00853B20"/>
    <w:rsid w:val="008620D9"/>
    <w:rsid w:val="0086313E"/>
    <w:rsid w:val="00880E45"/>
    <w:rsid w:val="008A5C71"/>
    <w:rsid w:val="008A5D8D"/>
    <w:rsid w:val="008C0F08"/>
    <w:rsid w:val="008C14C8"/>
    <w:rsid w:val="008D4A92"/>
    <w:rsid w:val="008D6696"/>
    <w:rsid w:val="008D718D"/>
    <w:rsid w:val="008F168E"/>
    <w:rsid w:val="00904171"/>
    <w:rsid w:val="0091483E"/>
    <w:rsid w:val="00925571"/>
    <w:rsid w:val="009301EC"/>
    <w:rsid w:val="009333DA"/>
    <w:rsid w:val="00951C6A"/>
    <w:rsid w:val="00972F71"/>
    <w:rsid w:val="00977130"/>
    <w:rsid w:val="00982415"/>
    <w:rsid w:val="009842FC"/>
    <w:rsid w:val="00984C75"/>
    <w:rsid w:val="0098636C"/>
    <w:rsid w:val="00987B83"/>
    <w:rsid w:val="0099595A"/>
    <w:rsid w:val="009B2982"/>
    <w:rsid w:val="009B32BE"/>
    <w:rsid w:val="009B4E97"/>
    <w:rsid w:val="009D2C19"/>
    <w:rsid w:val="009D68D2"/>
    <w:rsid w:val="009F753E"/>
    <w:rsid w:val="00A06BCB"/>
    <w:rsid w:val="00A06BD2"/>
    <w:rsid w:val="00A10301"/>
    <w:rsid w:val="00A10884"/>
    <w:rsid w:val="00A11C56"/>
    <w:rsid w:val="00A16589"/>
    <w:rsid w:val="00A213AF"/>
    <w:rsid w:val="00A303B6"/>
    <w:rsid w:val="00A36604"/>
    <w:rsid w:val="00A43663"/>
    <w:rsid w:val="00A56830"/>
    <w:rsid w:val="00A57FDF"/>
    <w:rsid w:val="00A63026"/>
    <w:rsid w:val="00A666EA"/>
    <w:rsid w:val="00A73A52"/>
    <w:rsid w:val="00A7427F"/>
    <w:rsid w:val="00A74F19"/>
    <w:rsid w:val="00A76592"/>
    <w:rsid w:val="00AC3E84"/>
    <w:rsid w:val="00AF102C"/>
    <w:rsid w:val="00B04850"/>
    <w:rsid w:val="00B112E8"/>
    <w:rsid w:val="00B220E8"/>
    <w:rsid w:val="00B30968"/>
    <w:rsid w:val="00B30FC1"/>
    <w:rsid w:val="00B34786"/>
    <w:rsid w:val="00B45F43"/>
    <w:rsid w:val="00B553AF"/>
    <w:rsid w:val="00B659D2"/>
    <w:rsid w:val="00B75FC7"/>
    <w:rsid w:val="00B81DB4"/>
    <w:rsid w:val="00B95396"/>
    <w:rsid w:val="00B966EC"/>
    <w:rsid w:val="00BA57D5"/>
    <w:rsid w:val="00BC79D7"/>
    <w:rsid w:val="00BD0B97"/>
    <w:rsid w:val="00C01BD1"/>
    <w:rsid w:val="00C035DA"/>
    <w:rsid w:val="00C05981"/>
    <w:rsid w:val="00C10D47"/>
    <w:rsid w:val="00C13746"/>
    <w:rsid w:val="00C17481"/>
    <w:rsid w:val="00C203FD"/>
    <w:rsid w:val="00C35EE4"/>
    <w:rsid w:val="00C37F65"/>
    <w:rsid w:val="00C42525"/>
    <w:rsid w:val="00C46746"/>
    <w:rsid w:val="00C604C6"/>
    <w:rsid w:val="00C7212C"/>
    <w:rsid w:val="00C7251F"/>
    <w:rsid w:val="00C7626D"/>
    <w:rsid w:val="00C87C22"/>
    <w:rsid w:val="00C92ED6"/>
    <w:rsid w:val="00CA2E4C"/>
    <w:rsid w:val="00CA721F"/>
    <w:rsid w:val="00CE3E14"/>
    <w:rsid w:val="00CE5F5E"/>
    <w:rsid w:val="00CF5C45"/>
    <w:rsid w:val="00D06E67"/>
    <w:rsid w:val="00D11FA6"/>
    <w:rsid w:val="00D2020E"/>
    <w:rsid w:val="00D202D7"/>
    <w:rsid w:val="00D26C2C"/>
    <w:rsid w:val="00D272DF"/>
    <w:rsid w:val="00D35513"/>
    <w:rsid w:val="00D40AF3"/>
    <w:rsid w:val="00D42060"/>
    <w:rsid w:val="00D57B23"/>
    <w:rsid w:val="00D70476"/>
    <w:rsid w:val="00D717BD"/>
    <w:rsid w:val="00D8061B"/>
    <w:rsid w:val="00D83C00"/>
    <w:rsid w:val="00D92589"/>
    <w:rsid w:val="00D92602"/>
    <w:rsid w:val="00DA122D"/>
    <w:rsid w:val="00DA5C2B"/>
    <w:rsid w:val="00DB52ED"/>
    <w:rsid w:val="00DC5C95"/>
    <w:rsid w:val="00DC67E6"/>
    <w:rsid w:val="00DD4D84"/>
    <w:rsid w:val="00DD7E4D"/>
    <w:rsid w:val="00DE5F5A"/>
    <w:rsid w:val="00E04D62"/>
    <w:rsid w:val="00E15B77"/>
    <w:rsid w:val="00E2669B"/>
    <w:rsid w:val="00E27741"/>
    <w:rsid w:val="00E365CB"/>
    <w:rsid w:val="00E52D6C"/>
    <w:rsid w:val="00E5640E"/>
    <w:rsid w:val="00E65641"/>
    <w:rsid w:val="00E67E6D"/>
    <w:rsid w:val="00E70320"/>
    <w:rsid w:val="00E948A2"/>
    <w:rsid w:val="00EA348C"/>
    <w:rsid w:val="00EA7513"/>
    <w:rsid w:val="00EB3679"/>
    <w:rsid w:val="00ED4767"/>
    <w:rsid w:val="00EE2FA5"/>
    <w:rsid w:val="00EE38CE"/>
    <w:rsid w:val="00EE5C70"/>
    <w:rsid w:val="00F007E6"/>
    <w:rsid w:val="00F014B3"/>
    <w:rsid w:val="00F01671"/>
    <w:rsid w:val="00F10CCA"/>
    <w:rsid w:val="00F20B8D"/>
    <w:rsid w:val="00F25AE7"/>
    <w:rsid w:val="00F26DF8"/>
    <w:rsid w:val="00F33310"/>
    <w:rsid w:val="00F355F4"/>
    <w:rsid w:val="00F57C4E"/>
    <w:rsid w:val="00F631BE"/>
    <w:rsid w:val="00F657A1"/>
    <w:rsid w:val="00F71D10"/>
    <w:rsid w:val="00F73B79"/>
    <w:rsid w:val="00F804DE"/>
    <w:rsid w:val="00F82216"/>
    <w:rsid w:val="00F846A1"/>
    <w:rsid w:val="00F9299D"/>
    <w:rsid w:val="00FA4A6D"/>
    <w:rsid w:val="00FD0DCE"/>
    <w:rsid w:val="00FD49D9"/>
    <w:rsid w:val="00FD68C2"/>
    <w:rsid w:val="00FE0B2C"/>
    <w:rsid w:val="00FF0408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945FF"/>
  <w15:docId w15:val="{D5FF674F-7731-4542-B187-18165FB6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E0C6-ECEC-49A4-9212-27F93995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Ombeline Scour</dc:creator>
  <cp:keywords/>
  <dc:description/>
  <cp:lastModifiedBy>user</cp:lastModifiedBy>
  <cp:revision>2</cp:revision>
  <dcterms:created xsi:type="dcterms:W3CDTF">2019-06-18T10:09:00Z</dcterms:created>
  <dcterms:modified xsi:type="dcterms:W3CDTF">2019-06-18T10:09:00Z</dcterms:modified>
</cp:coreProperties>
</file>