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6" w:rsidRPr="00AB2DE1" w:rsidRDefault="00AB2DE1" w:rsidP="00AB2DE1">
      <w:pPr>
        <w:pStyle w:val="Titre4"/>
        <w:spacing w:before="0" w:after="0" w:line="276" w:lineRule="auto"/>
        <w:jc w:val="center"/>
        <w:rPr>
          <w:rFonts w:eastAsia="Calibri" w:cs="Arial"/>
          <w:bCs/>
          <w:caps w:val="0"/>
          <w:snapToGrid w:val="0"/>
          <w:color w:val="4F81BD" w:themeColor="accent1"/>
          <w:kern w:val="28"/>
          <w:sz w:val="36"/>
          <w:szCs w:val="36"/>
          <w:lang w:eastAsia="zh-CN"/>
        </w:rPr>
      </w:pPr>
      <w:bookmarkStart w:id="0" w:name="_GoBack"/>
      <w:bookmarkEnd w:id="0"/>
      <w:r w:rsidRPr="00AB2DE1">
        <w:rPr>
          <w:rFonts w:eastAsia="Calibri" w:cs="Arial"/>
          <w:bCs/>
          <w:caps w:val="0"/>
          <w:snapToGrid w:val="0"/>
          <w:color w:val="4F81BD" w:themeColor="accent1"/>
          <w:kern w:val="28"/>
          <w:sz w:val="36"/>
          <w:szCs w:val="36"/>
          <w:lang w:eastAsia="zh-CN"/>
        </w:rPr>
        <w:t>PROGRAMME NATIONAL</w:t>
      </w:r>
      <w:r w:rsidR="00F355F4" w:rsidRPr="00AB2DE1">
        <w:rPr>
          <w:rFonts w:eastAsia="Calibri" w:cs="Arial"/>
          <w:bCs/>
          <w:caps w:val="0"/>
          <w:snapToGrid w:val="0"/>
          <w:color w:val="4F81BD" w:themeColor="accent1"/>
          <w:kern w:val="28"/>
          <w:sz w:val="36"/>
          <w:szCs w:val="36"/>
          <w:lang w:eastAsia="zh-CN"/>
        </w:rPr>
        <w:t xml:space="preserve"> D’INVENTAIRE DU PCI</w:t>
      </w:r>
    </w:p>
    <w:p w:rsidR="00AB2DE1" w:rsidRDefault="00AB2DE1" w:rsidP="00AB2DE1">
      <w:pPr>
        <w:jc w:val="center"/>
        <w:rPr>
          <w:b/>
          <w:color w:val="4F81BD" w:themeColor="accent1"/>
          <w:lang w:val="fr-FR"/>
        </w:rPr>
      </w:pPr>
      <w:r w:rsidRPr="00AB2DE1">
        <w:rPr>
          <w:b/>
          <w:color w:val="4F81BD" w:themeColor="accent1"/>
          <w:lang w:val="fr-FR"/>
        </w:rPr>
        <w:t>PHASE PILOTE</w:t>
      </w:r>
    </w:p>
    <w:p w:rsidR="00AB2DE1" w:rsidRPr="00AB2DE1" w:rsidRDefault="00AB2DE1" w:rsidP="00AB2DE1">
      <w:pPr>
        <w:jc w:val="center"/>
        <w:rPr>
          <w:b/>
          <w:color w:val="4F81BD" w:themeColor="accent1"/>
          <w:lang w:val="fr-FR"/>
        </w:rPr>
      </w:pPr>
    </w:p>
    <w:p w:rsidR="00F355F4" w:rsidRPr="00C63D70" w:rsidRDefault="00F355F4" w:rsidP="000A1075">
      <w:pPr>
        <w:spacing w:before="0" w:after="0" w:line="276" w:lineRule="auto"/>
        <w:rPr>
          <w:b/>
          <w:lang w:val="fr-FR"/>
        </w:rPr>
      </w:pPr>
      <w:r w:rsidRPr="00C63D70">
        <w:rPr>
          <w:b/>
          <w:lang w:val="fr-FR"/>
        </w:rPr>
        <w:t xml:space="preserve">REGION : </w:t>
      </w:r>
      <w:r w:rsidR="00F91A77" w:rsidRPr="00C63D70">
        <w:rPr>
          <w:b/>
          <w:lang w:val="fr-FR"/>
        </w:rPr>
        <w:t>DIOURBEL</w:t>
      </w:r>
    </w:p>
    <w:p w:rsidR="00F355F4" w:rsidRPr="00C63D70" w:rsidRDefault="00F355F4" w:rsidP="000A1075">
      <w:pPr>
        <w:spacing w:before="0" w:after="0" w:line="276" w:lineRule="auto"/>
        <w:rPr>
          <w:b/>
          <w:lang w:val="fr-FR"/>
        </w:rPr>
      </w:pPr>
      <w:r w:rsidRPr="00C63D70">
        <w:rPr>
          <w:b/>
          <w:lang w:val="fr-FR"/>
        </w:rPr>
        <w:t>DEPARTEMENT :</w:t>
      </w:r>
      <w:r w:rsidR="00F91A77" w:rsidRPr="00C63D70">
        <w:rPr>
          <w:b/>
          <w:lang w:val="fr-FR"/>
        </w:rPr>
        <w:t xml:space="preserve"> BAMBEY</w:t>
      </w:r>
    </w:p>
    <w:p w:rsidR="00C92ED6" w:rsidRPr="00C63D70" w:rsidRDefault="00F355F4" w:rsidP="000A1075">
      <w:pPr>
        <w:pStyle w:val="Titre4"/>
        <w:spacing w:before="0" w:after="0" w:line="276" w:lineRule="auto"/>
        <w:jc w:val="both"/>
        <w:rPr>
          <w:rFonts w:cs="Arial"/>
        </w:rPr>
      </w:pPr>
      <w:r w:rsidRPr="00C63D70">
        <w:rPr>
          <w:rFonts w:cs="Arial"/>
        </w:rPr>
        <w:t>Numero de la fiche </w:t>
      </w:r>
      <w:proofErr w:type="gramStart"/>
      <w:r w:rsidR="00DA2400" w:rsidRPr="00C63D70">
        <w:rPr>
          <w:rFonts w:cs="Arial"/>
        </w:rPr>
        <w:t>:</w:t>
      </w:r>
      <w:r w:rsidR="00DA2400" w:rsidRPr="000C0E0B">
        <w:rPr>
          <w:rFonts w:cs="Arial"/>
          <w:sz w:val="24"/>
          <w:szCs w:val="20"/>
          <w:highlight w:val="cyan"/>
        </w:rPr>
        <w:t>SNDL2BMYPCI</w:t>
      </w:r>
      <w:proofErr w:type="gramEnd"/>
      <w:r w:rsidR="003F298E" w:rsidRPr="000C0E0B">
        <w:rPr>
          <w:rFonts w:cs="Arial"/>
          <w:sz w:val="24"/>
          <w:szCs w:val="20"/>
          <w:highlight w:val="cyan"/>
        </w:rPr>
        <w:t xml:space="preserve"> 0</w:t>
      </w:r>
      <w:r w:rsidR="00AB2DE1" w:rsidRPr="000C0E0B">
        <w:rPr>
          <w:rFonts w:cs="Arial"/>
          <w:sz w:val="24"/>
          <w:szCs w:val="20"/>
          <w:highlight w:val="cyan"/>
        </w:rPr>
        <w:t>1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42"/>
      </w:tblGrid>
      <w:tr w:rsidR="00C92ED6" w:rsidRPr="00C63D70" w:rsidTr="00512CE7">
        <w:tc>
          <w:tcPr>
            <w:tcW w:w="567" w:type="dxa"/>
            <w:shd w:val="clear" w:color="auto" w:fill="F2F2F2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642" w:type="dxa"/>
            <w:shd w:val="clear" w:color="auto" w:fill="F2F2F2"/>
          </w:tcPr>
          <w:p w:rsidR="00C92ED6" w:rsidRPr="00C63D70" w:rsidRDefault="00C92ED6" w:rsidP="00C63D70">
            <w:pPr>
              <w:pStyle w:val="Tabtxt"/>
              <w:keepNext w:val="0"/>
              <w:spacing w:before="0" w:after="0" w:line="276" w:lineRule="auto"/>
              <w:ind w:left="113"/>
              <w:jc w:val="left"/>
              <w:rPr>
                <w:b/>
                <w:caps/>
              </w:rPr>
            </w:pPr>
            <w:r w:rsidRPr="00C63D70">
              <w:rPr>
                <w:b/>
                <w:caps/>
                <w:snapToGrid w:val="0"/>
              </w:rPr>
              <w:t>Identification de l’élément du PCI</w:t>
            </w: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</w:p>
          <w:p w:rsidR="00B34920" w:rsidRPr="00C63D70" w:rsidRDefault="00B34920" w:rsidP="00C63D70">
            <w:pPr>
              <w:spacing w:before="0" w:after="0" w:line="276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F91A77" w:rsidRPr="00512CE7" w:rsidRDefault="00F91A77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jc w:val="left"/>
              <w:rPr>
                <w:i/>
                <w:snapToGrid/>
                <w:sz w:val="20"/>
                <w:szCs w:val="18"/>
                <w:lang w:val="fr-FR" w:eastAsia="fr-FR"/>
              </w:rPr>
            </w:pPr>
            <w:r w:rsidRPr="00512CE7">
              <w:rPr>
                <w:b/>
                <w:i/>
                <w:snapToGrid/>
                <w:sz w:val="20"/>
                <w:szCs w:val="18"/>
                <w:lang w:val="fr-FR" w:eastAsia="fr-FR"/>
              </w:rPr>
              <w:t>NGOMA</w:t>
            </w:r>
            <w:r w:rsidR="00444929" w:rsidRPr="00512CE7">
              <w:rPr>
                <w:b/>
                <w:i/>
                <w:snapToGrid/>
                <w:sz w:val="20"/>
                <w:szCs w:val="18"/>
                <w:lang w:val="fr-FR" w:eastAsia="fr-FR"/>
              </w:rPr>
              <w:t>A</w:t>
            </w:r>
            <w:r w:rsidRPr="00512CE7">
              <w:rPr>
                <w:b/>
                <w:i/>
                <w:snapToGrid/>
                <w:sz w:val="20"/>
                <w:szCs w:val="18"/>
                <w:lang w:val="fr-FR" w:eastAsia="fr-FR"/>
              </w:rPr>
              <w:t>R</w:t>
            </w:r>
          </w:p>
          <w:p w:rsidR="00B34920" w:rsidRPr="00C63D70" w:rsidRDefault="00B34920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A06BCB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="00C92ED6" w:rsidRPr="00C63D70">
              <w:rPr>
                <w:b/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</w:p>
          <w:p w:rsidR="00B34920" w:rsidRPr="00C63D70" w:rsidRDefault="00B34920" w:rsidP="00C63D70">
            <w:pPr>
              <w:spacing w:before="0" w:after="0" w:line="276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F91A77" w:rsidRPr="00512CE7" w:rsidRDefault="00F91A77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jc w:val="left"/>
              <w:rPr>
                <w:i/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Le </w:t>
            </w:r>
            <w:proofErr w:type="spellStart"/>
            <w:r w:rsidR="00FF0CEC" w:rsidRPr="00512CE7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="00601CEC" w:rsidRPr="00512CE7">
              <w:rPr>
                <w:snapToGrid/>
                <w:sz w:val="18"/>
                <w:szCs w:val="18"/>
                <w:lang w:val="fr-FR" w:eastAsia="fr-FR"/>
              </w:rPr>
              <w:t xml:space="preserve"> est une séance de danse qui s’inscrit dans le domaine des </w:t>
            </w:r>
            <w:r w:rsidR="00444929" w:rsidRPr="00512CE7">
              <w:rPr>
                <w:b/>
                <w:i/>
                <w:snapToGrid/>
                <w:sz w:val="18"/>
                <w:szCs w:val="18"/>
                <w:lang w:val="fr-FR" w:eastAsia="fr-FR"/>
              </w:rPr>
              <w:t>Pratiques sociales, rituels et évènements festifs</w:t>
            </w:r>
          </w:p>
          <w:p w:rsidR="00B34920" w:rsidRPr="00C63D70" w:rsidRDefault="00B34920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Communauté(s) concernée(s)</w:t>
            </w:r>
          </w:p>
          <w:p w:rsidR="00B34920" w:rsidRPr="00C63D70" w:rsidRDefault="00B34920" w:rsidP="00C63D70">
            <w:p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F91A77" w:rsidRPr="00512CE7" w:rsidRDefault="00F91A77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D’une manière générale, le NGOMAR est une pratique fréquente chez les </w:t>
            </w:r>
            <w:proofErr w:type="spellStart"/>
            <w:r w:rsidRPr="00512CE7">
              <w:rPr>
                <w:snapToGrid/>
                <w:sz w:val="18"/>
                <w:szCs w:val="18"/>
                <w:lang w:val="fr-FR" w:eastAsia="fr-FR"/>
              </w:rPr>
              <w:t>sérères</w:t>
            </w:r>
            <w:r w:rsidR="00645C2F" w:rsidRPr="00512CE7">
              <w:rPr>
                <w:snapToGrid/>
                <w:sz w:val="18"/>
                <w:szCs w:val="18"/>
                <w:lang w:val="fr-FR" w:eastAsia="fr-FR"/>
              </w:rPr>
              <w:t>Ool</w:t>
            </w:r>
            <w:proofErr w:type="spellEnd"/>
            <w:r w:rsidR="00645C2F" w:rsidRPr="00512CE7">
              <w:rPr>
                <w:snapToGrid/>
                <w:sz w:val="18"/>
                <w:szCs w:val="18"/>
                <w:lang w:val="fr-FR" w:eastAsia="fr-FR"/>
              </w:rPr>
              <w:t xml:space="preserve"> du </w:t>
            </w:r>
            <w:r w:rsidR="00B34920" w:rsidRPr="00512CE7">
              <w:rPr>
                <w:snapToGrid/>
                <w:sz w:val="18"/>
                <w:szCs w:val="18"/>
                <w:lang w:val="fr-FR" w:eastAsia="fr-FR"/>
              </w:rPr>
              <w:t>“</w:t>
            </w:r>
            <w:proofErr w:type="spellStart"/>
            <w:r w:rsidR="00B34920" w:rsidRPr="00512CE7">
              <w:rPr>
                <w:snapToGrid/>
                <w:sz w:val="18"/>
                <w:szCs w:val="18"/>
                <w:lang w:val="fr-FR" w:eastAsia="fr-FR"/>
              </w:rPr>
              <w:t>mbayaar</w:t>
            </w:r>
            <w:proofErr w:type="spellEnd"/>
            <w:r w:rsidR="00B34920" w:rsidRPr="00512CE7">
              <w:rPr>
                <w:snapToGrid/>
                <w:sz w:val="18"/>
                <w:szCs w:val="18"/>
                <w:lang w:val="fr-FR" w:eastAsia="fr-FR"/>
              </w:rPr>
              <w:t>”</w:t>
            </w:r>
            <w:r w:rsidR="00645C2F" w:rsidRPr="00512CE7">
              <w:rPr>
                <w:snapToGrid/>
                <w:sz w:val="18"/>
                <w:szCs w:val="18"/>
                <w:lang w:val="fr-FR" w:eastAsia="fr-FR"/>
              </w:rPr>
              <w:t>, et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 de </w:t>
            </w:r>
            <w:proofErr w:type="spellStart"/>
            <w:r w:rsidRPr="00512CE7">
              <w:rPr>
                <w:snapToGrid/>
                <w:sz w:val="18"/>
                <w:szCs w:val="18"/>
                <w:lang w:val="fr-FR" w:eastAsia="fr-FR"/>
              </w:rPr>
              <w:t>Bambey</w:t>
            </w:r>
            <w:proofErr w:type="spellEnd"/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. </w:t>
            </w:r>
          </w:p>
          <w:p w:rsidR="00B34920" w:rsidRPr="00C63D70" w:rsidRDefault="00B34920" w:rsidP="00C63D70">
            <w:pPr>
              <w:spacing w:before="0" w:after="0" w:line="276" w:lineRule="auto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</w:p>
          <w:p w:rsidR="00B34920" w:rsidRPr="00C63D70" w:rsidRDefault="00B34920" w:rsidP="00C63D70">
            <w:pPr>
              <w:spacing w:before="0" w:after="0" w:line="276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D70239" w:rsidRPr="00512CE7" w:rsidRDefault="00D70239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Dans le village de </w:t>
            </w:r>
            <w:proofErr w:type="spellStart"/>
            <w:r w:rsidRPr="00512CE7">
              <w:rPr>
                <w:snapToGrid/>
                <w:sz w:val="18"/>
                <w:szCs w:val="18"/>
                <w:lang w:val="fr-FR" w:eastAsia="fr-FR"/>
              </w:rPr>
              <w:t>Ba</w:t>
            </w:r>
            <w:r w:rsidR="00DC6547" w:rsidRPr="00512CE7">
              <w:rPr>
                <w:snapToGrid/>
                <w:sz w:val="18"/>
                <w:szCs w:val="18"/>
                <w:lang w:val="fr-FR" w:eastAsia="fr-FR"/>
              </w:rPr>
              <w:t>mbey</w:t>
            </w:r>
            <w:proofErr w:type="spellEnd"/>
            <w:r w:rsidR="00DC6547" w:rsidRPr="00512CE7">
              <w:rPr>
                <w:snapToGrid/>
                <w:sz w:val="18"/>
                <w:szCs w:val="18"/>
                <w:lang w:val="fr-FR" w:eastAsia="fr-FR"/>
              </w:rPr>
              <w:t xml:space="preserve"> sérère (Commune de </w:t>
            </w:r>
            <w:proofErr w:type="spellStart"/>
            <w:r w:rsidR="00DC6547" w:rsidRPr="00512CE7">
              <w:rPr>
                <w:snapToGrid/>
                <w:sz w:val="18"/>
                <w:szCs w:val="18"/>
                <w:lang w:val="fr-FR" w:eastAsia="fr-FR"/>
              </w:rPr>
              <w:t>Ngogom</w:t>
            </w:r>
            <w:proofErr w:type="spellEnd"/>
            <w:r w:rsidR="00F00123" w:rsidRPr="00512CE7">
              <w:rPr>
                <w:snapToGrid/>
                <w:sz w:val="18"/>
                <w:szCs w:val="18"/>
                <w:lang w:val="fr-FR" w:eastAsia="fr-FR"/>
              </w:rPr>
              <w:t xml:space="preserve">) et dans le département de Diourbel, </w:t>
            </w:r>
            <w:r w:rsidR="00A81C8B" w:rsidRPr="00512CE7">
              <w:rPr>
                <w:snapToGrid/>
                <w:sz w:val="18"/>
                <w:szCs w:val="18"/>
                <w:lang w:val="fr-FR" w:eastAsia="fr-FR"/>
              </w:rPr>
              <w:t xml:space="preserve">donc </w:t>
            </w:r>
            <w:r w:rsidR="00F00123" w:rsidRPr="00512CE7">
              <w:rPr>
                <w:snapToGrid/>
                <w:sz w:val="18"/>
                <w:szCs w:val="18"/>
                <w:lang w:val="fr-FR" w:eastAsia="fr-FR"/>
              </w:rPr>
              <w:t>dans les localités où rés</w:t>
            </w:r>
            <w:r w:rsidR="00744361" w:rsidRPr="00512CE7">
              <w:rPr>
                <w:snapToGrid/>
                <w:sz w:val="18"/>
                <w:szCs w:val="18"/>
                <w:lang w:val="fr-FR" w:eastAsia="fr-FR"/>
              </w:rPr>
              <w:t xml:space="preserve">ident les </w:t>
            </w:r>
            <w:proofErr w:type="spellStart"/>
            <w:r w:rsidR="00744361" w:rsidRPr="00512CE7">
              <w:rPr>
                <w:snapToGrid/>
                <w:sz w:val="18"/>
                <w:szCs w:val="18"/>
                <w:lang w:val="fr-FR" w:eastAsia="fr-FR"/>
              </w:rPr>
              <w:t>Sérères</w:t>
            </w:r>
            <w:r w:rsidR="00A81C8B" w:rsidRPr="00512CE7">
              <w:rPr>
                <w:snapToGrid/>
                <w:sz w:val="18"/>
                <w:szCs w:val="18"/>
                <w:lang w:val="fr-FR" w:eastAsia="fr-FR"/>
              </w:rPr>
              <w:t>Ool</w:t>
            </w:r>
            <w:proofErr w:type="spellEnd"/>
            <w:r w:rsidR="00F00123" w:rsidRPr="00512CE7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  <w:p w:rsidR="00B34920" w:rsidRPr="00C63D70" w:rsidRDefault="00B34920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</w:p>
          <w:p w:rsidR="00B34920" w:rsidRPr="00C63D70" w:rsidRDefault="00B34920" w:rsidP="00C63D70">
            <w:p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2C547A" w:rsidRDefault="00936ED6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Evènement festif préparatoire au </w:t>
            </w:r>
            <w:r w:rsidR="00527A29" w:rsidRPr="00512CE7">
              <w:rPr>
                <w:b/>
                <w:snapToGrid/>
                <w:sz w:val="18"/>
                <w:szCs w:val="18"/>
                <w:lang w:val="fr-FR" w:eastAsia="fr-FR"/>
              </w:rPr>
              <w:t>« </w:t>
            </w:r>
            <w:proofErr w:type="spellStart"/>
            <w:r w:rsidR="00527A29" w:rsidRPr="002C547A">
              <w:rPr>
                <w:b/>
                <w:i/>
                <w:snapToGrid/>
                <w:sz w:val="24"/>
                <w:szCs w:val="18"/>
                <w:lang w:val="fr-FR" w:eastAsia="fr-FR"/>
              </w:rPr>
              <w:t>ndut</w:t>
            </w:r>
            <w:proofErr w:type="spellEnd"/>
            <w:r w:rsidR="00527A29" w:rsidRPr="002C547A">
              <w:rPr>
                <w:b/>
                <w:i/>
                <w:snapToGrid/>
                <w:sz w:val="24"/>
                <w:szCs w:val="18"/>
                <w:lang w:val="fr-FR" w:eastAsia="fr-FR"/>
              </w:rPr>
              <w:t xml:space="preserve"> ne</w:t>
            </w:r>
            <w:r w:rsidRPr="002C547A">
              <w:rPr>
                <w:b/>
                <w:snapToGrid/>
                <w:sz w:val="24"/>
                <w:szCs w:val="18"/>
                <w:lang w:val="fr-FR" w:eastAsia="fr-FR"/>
              </w:rPr>
              <w:t> </w:t>
            </w:r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»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 (Case de l</w:t>
            </w:r>
            <w:r w:rsidR="00392B71" w:rsidRPr="00512CE7">
              <w:rPr>
                <w:snapToGrid/>
                <w:sz w:val="18"/>
                <w:szCs w:val="18"/>
                <w:lang w:val="fr-FR" w:eastAsia="fr-FR"/>
              </w:rPr>
              <w:t xml:space="preserve">’homme), le </w:t>
            </w:r>
            <w:proofErr w:type="spellStart"/>
            <w:r w:rsidR="00392B71" w:rsidRPr="00512CE7">
              <w:rPr>
                <w:snapToGrid/>
                <w:sz w:val="18"/>
                <w:szCs w:val="18"/>
                <w:lang w:val="fr-FR" w:eastAsia="fr-FR"/>
              </w:rPr>
              <w:t>Ngom</w:t>
            </w:r>
            <w:r w:rsidR="003D4E15" w:rsidRPr="00512CE7">
              <w:rPr>
                <w:snapToGrid/>
                <w:sz w:val="18"/>
                <w:szCs w:val="18"/>
                <w:lang w:val="fr-FR" w:eastAsia="fr-FR"/>
              </w:rPr>
              <w:t>a</w:t>
            </w:r>
            <w:r w:rsidR="002C547A">
              <w:rPr>
                <w:snapToGrid/>
                <w:sz w:val="18"/>
                <w:szCs w:val="18"/>
                <w:lang w:val="fr-FR" w:eastAsia="fr-FR"/>
              </w:rPr>
              <w:t>ar</w:t>
            </w:r>
            <w:proofErr w:type="spellEnd"/>
            <w:r w:rsidR="002C547A">
              <w:rPr>
                <w:snapToGrid/>
                <w:sz w:val="18"/>
                <w:szCs w:val="18"/>
                <w:lang w:val="fr-FR" w:eastAsia="fr-FR"/>
              </w:rPr>
              <w:t xml:space="preserve"> est un rituel</w:t>
            </w:r>
          </w:p>
          <w:p w:rsidR="00F00123" w:rsidRPr="002C547A" w:rsidRDefault="002C547A" w:rsidP="002C547A">
            <w:p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2C547A">
              <w:rPr>
                <w:snapToGrid/>
                <w:sz w:val="18"/>
                <w:szCs w:val="18"/>
                <w:lang w:val="fr-FR" w:eastAsia="fr-FR"/>
              </w:rPr>
              <w:t>d’initiations constituées</w:t>
            </w:r>
            <w:r w:rsidR="00392B71" w:rsidRPr="002C547A">
              <w:rPr>
                <w:snapToGrid/>
                <w:sz w:val="18"/>
                <w:szCs w:val="18"/>
                <w:lang w:val="fr-FR" w:eastAsia="fr-FR"/>
              </w:rPr>
              <w:t xml:space="preserve"> de chants et d’une </w:t>
            </w:r>
            <w:r w:rsidR="00936ED6" w:rsidRPr="002C547A">
              <w:rPr>
                <w:snapToGrid/>
                <w:sz w:val="18"/>
                <w:szCs w:val="18"/>
                <w:lang w:val="fr-FR" w:eastAsia="fr-FR"/>
              </w:rPr>
              <w:t>danse</w:t>
            </w:r>
            <w:r w:rsidR="00392B71" w:rsidRPr="002C547A">
              <w:rPr>
                <w:snapToGrid/>
                <w:sz w:val="18"/>
                <w:szCs w:val="18"/>
                <w:lang w:val="fr-FR" w:eastAsia="fr-FR"/>
              </w:rPr>
              <w:t xml:space="preserve"> vigoureuse interprétée par les « AAT » (futurs circoncis), en vue de les préparer sur les p</w:t>
            </w:r>
            <w:r w:rsidR="000F3FE0" w:rsidRPr="002C547A">
              <w:rPr>
                <w:snapToGrid/>
                <w:sz w:val="18"/>
                <w:szCs w:val="18"/>
                <w:lang w:val="fr-FR" w:eastAsia="fr-FR"/>
              </w:rPr>
              <w:t>lans physique et psychologique</w:t>
            </w:r>
            <w:r w:rsidR="00392B71" w:rsidRPr="002C547A">
              <w:rPr>
                <w:snapToGrid/>
                <w:sz w:val="18"/>
                <w:szCs w:val="18"/>
                <w:lang w:val="fr-FR" w:eastAsia="fr-FR"/>
              </w:rPr>
              <w:t>.</w:t>
            </w:r>
            <w:r w:rsidR="000F3FE0" w:rsidRPr="002C547A">
              <w:rPr>
                <w:snapToGrid/>
                <w:sz w:val="18"/>
                <w:szCs w:val="18"/>
                <w:lang w:val="fr-FR" w:eastAsia="fr-FR"/>
              </w:rPr>
              <w:t xml:space="preserve"> A l’occasion, ils sont habillés de « </w:t>
            </w:r>
            <w:proofErr w:type="spellStart"/>
            <w:r w:rsidR="000F3FE0" w:rsidRPr="002C547A">
              <w:rPr>
                <w:snapToGrid/>
                <w:sz w:val="18"/>
                <w:szCs w:val="18"/>
                <w:lang w:val="fr-FR" w:eastAsia="fr-FR"/>
              </w:rPr>
              <w:t>rabal</w:t>
            </w:r>
            <w:proofErr w:type="spellEnd"/>
            <w:r w:rsidR="000F3FE0" w:rsidRPr="002C547A">
              <w:rPr>
                <w:snapToGrid/>
                <w:sz w:val="18"/>
                <w:szCs w:val="18"/>
                <w:lang w:val="fr-FR" w:eastAsia="fr-FR"/>
              </w:rPr>
              <w:t> » (pagne tissé noué autour de la taille couvrant à moitié le corps du gaillard), rasés et parés d’amulettes.</w:t>
            </w:r>
            <w:r w:rsidR="00B34920" w:rsidRPr="002C547A">
              <w:rPr>
                <w:snapToGrid/>
                <w:sz w:val="18"/>
                <w:szCs w:val="18"/>
                <w:lang w:val="fr-FR" w:eastAsia="fr-FR"/>
              </w:rPr>
              <w:t xml:space="preserve"> La cérémonie </w:t>
            </w:r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>du « </w:t>
            </w:r>
            <w:proofErr w:type="spellStart"/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> »</w:t>
            </w:r>
            <w:r w:rsidR="00B34920" w:rsidRPr="002C547A">
              <w:rPr>
                <w:snapToGrid/>
                <w:sz w:val="18"/>
                <w:szCs w:val="18"/>
                <w:lang w:val="fr-FR" w:eastAsia="fr-FR"/>
              </w:rPr>
              <w:t xml:space="preserve">se déroule pendant la saison sèche juste après les </w:t>
            </w:r>
            <w:proofErr w:type="spellStart"/>
            <w:r w:rsidR="00B34920" w:rsidRPr="002C547A">
              <w:rPr>
                <w:snapToGrid/>
                <w:sz w:val="18"/>
                <w:szCs w:val="18"/>
                <w:lang w:val="fr-FR" w:eastAsia="fr-FR"/>
              </w:rPr>
              <w:t>récoltes</w:t>
            </w:r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>.Elle</w:t>
            </w:r>
            <w:proofErr w:type="spellEnd"/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433604" w:rsidRPr="002C547A">
              <w:rPr>
                <w:snapToGrid/>
                <w:sz w:val="18"/>
                <w:szCs w:val="18"/>
                <w:lang w:val="fr-FR" w:eastAsia="fr-FR"/>
              </w:rPr>
              <w:t xml:space="preserve">a lieu sur la </w:t>
            </w:r>
            <w:r w:rsidR="009214EC" w:rsidRPr="002C547A">
              <w:rPr>
                <w:snapToGrid/>
                <w:sz w:val="18"/>
                <w:szCs w:val="18"/>
                <w:lang w:val="fr-FR" w:eastAsia="fr-FR"/>
              </w:rPr>
              <w:t xml:space="preserve">place publique et dure </w:t>
            </w:r>
            <w:r w:rsidR="00433604" w:rsidRPr="002C547A">
              <w:rPr>
                <w:snapToGrid/>
                <w:sz w:val="18"/>
                <w:szCs w:val="18"/>
                <w:lang w:val="fr-FR" w:eastAsia="fr-FR"/>
              </w:rPr>
              <w:t>deux(2) à trois(3)  jour</w:t>
            </w:r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 xml:space="preserve">s en présence des membres de la </w:t>
            </w:r>
            <w:r w:rsidR="003D4E15" w:rsidRPr="002C547A">
              <w:rPr>
                <w:snapToGrid/>
                <w:sz w:val="18"/>
                <w:szCs w:val="18"/>
                <w:lang w:val="fr-FR" w:eastAsia="fr-FR"/>
              </w:rPr>
              <w:t xml:space="preserve">communauté particulièrement les oncles et proches parents du « Aat » qui lui </w:t>
            </w:r>
            <w:r w:rsidR="001D656E" w:rsidRPr="002C547A">
              <w:rPr>
                <w:snapToGrid/>
                <w:sz w:val="18"/>
                <w:szCs w:val="18"/>
                <w:lang w:val="fr-FR" w:eastAsia="fr-FR"/>
              </w:rPr>
              <w:t>rappellent son devoir consistant à hono</w:t>
            </w:r>
            <w:r w:rsidR="003D4E15" w:rsidRPr="002C547A">
              <w:rPr>
                <w:snapToGrid/>
                <w:sz w:val="18"/>
                <w:szCs w:val="18"/>
                <w:lang w:val="fr-FR" w:eastAsia="fr-FR"/>
              </w:rPr>
              <w:t xml:space="preserve">rer la famille par un </w:t>
            </w:r>
            <w:r w:rsidR="001D656E" w:rsidRPr="002C547A">
              <w:rPr>
                <w:snapToGrid/>
                <w:sz w:val="18"/>
                <w:szCs w:val="18"/>
                <w:lang w:val="fr-FR" w:eastAsia="fr-FR"/>
              </w:rPr>
              <w:t>comportement</w:t>
            </w:r>
            <w:r w:rsidR="003D4E15" w:rsidRPr="002C547A">
              <w:rPr>
                <w:snapToGrid/>
                <w:sz w:val="18"/>
                <w:szCs w:val="18"/>
                <w:lang w:val="fr-FR" w:eastAsia="fr-FR"/>
              </w:rPr>
              <w:t xml:space="preserve"> exemplaire de courage, de bravoure et d’endurance</w:t>
            </w:r>
            <w:r w:rsidR="00433604" w:rsidRPr="002C547A">
              <w:rPr>
                <w:snapToGrid/>
                <w:sz w:val="18"/>
                <w:szCs w:val="18"/>
                <w:lang w:val="fr-FR" w:eastAsia="fr-FR"/>
              </w:rPr>
              <w:t xml:space="preserve">. Enfin, il faut préciser </w:t>
            </w:r>
            <w:r w:rsidR="00095BD1" w:rsidRPr="002C547A">
              <w:rPr>
                <w:snapToGrid/>
                <w:sz w:val="18"/>
                <w:szCs w:val="18"/>
                <w:lang w:val="fr-FR" w:eastAsia="fr-FR"/>
              </w:rPr>
              <w:t>que le « </w:t>
            </w:r>
            <w:proofErr w:type="spellStart"/>
            <w:r w:rsidR="00095BD1" w:rsidRPr="002C547A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="00095BD1" w:rsidRPr="002C547A">
              <w:rPr>
                <w:snapToGrid/>
                <w:sz w:val="18"/>
                <w:szCs w:val="18"/>
                <w:lang w:val="fr-FR" w:eastAsia="fr-FR"/>
              </w:rPr>
              <w:t> » est pratiqué</w:t>
            </w:r>
            <w:r w:rsidR="00433604" w:rsidRPr="002C547A">
              <w:rPr>
                <w:snapToGrid/>
                <w:sz w:val="18"/>
                <w:szCs w:val="18"/>
                <w:lang w:val="fr-FR" w:eastAsia="fr-FR"/>
              </w:rPr>
              <w:t xml:space="preserve"> suivant une périodicité de cinq (5) ans.</w:t>
            </w:r>
          </w:p>
          <w:p w:rsidR="00B34920" w:rsidRPr="00C63D70" w:rsidRDefault="00B34920" w:rsidP="00C63D70">
            <w:p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F2F2F2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8642" w:type="dxa"/>
            <w:shd w:val="clear" w:color="auto" w:fill="F2F2F2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2.1</w:t>
            </w:r>
            <w:r w:rsidRPr="00C63D70">
              <w:rPr>
                <w:sz w:val="18"/>
                <w:szCs w:val="18"/>
                <w:lang w:val="fr-FR" w:eastAsia="fr-FR"/>
              </w:rPr>
              <w:t>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B34920" w:rsidRPr="00C63D70" w:rsidRDefault="00B34920" w:rsidP="00C63D70">
            <w:p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2C547A" w:rsidRDefault="00526711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En dehors des « Aat », candidats à la circoncision âgés entre 18 et 20 ans, l</w:t>
            </w:r>
            <w:r w:rsidR="00B34920" w:rsidRPr="00512CE7">
              <w:rPr>
                <w:snapToGrid/>
                <w:sz w:val="18"/>
                <w:szCs w:val="18"/>
                <w:lang w:val="fr-FR" w:eastAsia="fr-FR"/>
              </w:rPr>
              <w:t>es griots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>,</w:t>
            </w:r>
            <w:r w:rsidR="002C547A">
              <w:rPr>
                <w:snapToGrid/>
                <w:sz w:val="18"/>
                <w:szCs w:val="18"/>
                <w:lang w:val="fr-FR" w:eastAsia="fr-FR"/>
              </w:rPr>
              <w:t xml:space="preserve"> batteurs et</w:t>
            </w:r>
          </w:p>
          <w:p w:rsidR="00B34920" w:rsidRPr="002C547A" w:rsidRDefault="00B34920" w:rsidP="002C547A">
            <w:pPr>
              <w:spacing w:before="0" w:after="0" w:line="276" w:lineRule="auto"/>
              <w:ind w:left="47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2C547A">
              <w:rPr>
                <w:snapToGrid/>
                <w:sz w:val="18"/>
                <w:szCs w:val="18"/>
                <w:lang w:val="fr-FR" w:eastAsia="fr-FR"/>
              </w:rPr>
              <w:t xml:space="preserve">chanteurs  jouent un rôle très important </w:t>
            </w:r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>dans la séance de « </w:t>
            </w:r>
            <w:proofErr w:type="spellStart"/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> »</w:t>
            </w:r>
            <w:r w:rsidRPr="002C547A">
              <w:rPr>
                <w:snapToGrid/>
                <w:sz w:val="18"/>
                <w:szCs w:val="18"/>
                <w:lang w:val="fr-FR" w:eastAsia="fr-FR"/>
              </w:rPr>
              <w:t>.</w:t>
            </w:r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526711" w:rsidRPr="002C547A">
              <w:rPr>
                <w:snapToGrid/>
                <w:sz w:val="18"/>
                <w:szCs w:val="18"/>
                <w:lang w:val="fr-FR" w:eastAsia="fr-FR"/>
              </w:rPr>
              <w:t>Le</w:t>
            </w:r>
            <w:r w:rsidR="00161B8C" w:rsidRPr="002C547A">
              <w:rPr>
                <w:snapToGrid/>
                <w:sz w:val="18"/>
                <w:szCs w:val="18"/>
                <w:lang w:val="fr-FR" w:eastAsia="fr-FR"/>
              </w:rPr>
              <w:t>Saltigué</w:t>
            </w:r>
            <w:proofErr w:type="spellEnd"/>
            <w:r w:rsidR="00161B8C" w:rsidRPr="002C547A">
              <w:rPr>
                <w:snapToGrid/>
                <w:sz w:val="18"/>
                <w:szCs w:val="18"/>
                <w:lang w:val="fr-FR" w:eastAsia="fr-FR"/>
              </w:rPr>
              <w:t xml:space="preserve"> du village se charge de la préparation mystique de la cérémonie mais aussi de celle des « Aat ».</w:t>
            </w:r>
          </w:p>
          <w:p w:rsidR="00161B8C" w:rsidRPr="00C63D70" w:rsidRDefault="00161B8C" w:rsidP="00C63D70">
            <w:p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6E7974" w:rsidRPr="00C63D70" w:rsidRDefault="006E7974" w:rsidP="00C63D70">
            <w:pPr>
              <w:spacing w:before="0" w:after="0" w:line="276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  <w:t xml:space="preserve">    2.2. 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6E7974" w:rsidRPr="00C63D70" w:rsidRDefault="006E7974" w:rsidP="00C63D70">
            <w:pPr>
              <w:spacing w:before="0" w:after="0" w:line="276" w:lineRule="auto"/>
              <w:ind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911E8B" w:rsidRPr="00512CE7" w:rsidRDefault="006E7974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D’autres personnes interviennent également dans le processus où elles jouent un rôle important, même si elles ne sont pas au centre de ce rituel.</w:t>
            </w:r>
            <w:r w:rsidR="00C878BD" w:rsidRPr="00512CE7">
              <w:rPr>
                <w:snapToGrid/>
                <w:sz w:val="18"/>
                <w:szCs w:val="18"/>
                <w:lang w:val="fr-FR" w:eastAsia="fr-FR"/>
              </w:rPr>
              <w:t xml:space="preserve"> Il s’agit notamment</w:t>
            </w:r>
            <w:r w:rsidR="00911E8B" w:rsidRPr="00512CE7">
              <w:rPr>
                <w:snapToGrid/>
                <w:sz w:val="18"/>
                <w:szCs w:val="18"/>
                <w:lang w:val="fr-FR" w:eastAsia="fr-FR"/>
              </w:rPr>
              <w:t> :</w:t>
            </w:r>
          </w:p>
          <w:p w:rsidR="00911E8B" w:rsidRPr="00512CE7" w:rsidRDefault="00C878BD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des notables du village</w:t>
            </w:r>
            <w:r w:rsidR="00911E8B" w:rsidRPr="00512CE7">
              <w:rPr>
                <w:snapToGrid/>
                <w:sz w:val="18"/>
                <w:szCs w:val="18"/>
                <w:lang w:val="fr-FR" w:eastAsia="fr-FR"/>
              </w:rPr>
              <w:t xml:space="preserve"> qui gèrent la préparation et la protection du</w:t>
            </w:r>
            <w:r w:rsidR="000A78B1" w:rsidRPr="00512CE7">
              <w:rPr>
                <w:snapToGrid/>
                <w:sz w:val="18"/>
                <w:szCs w:val="18"/>
                <w:lang w:val="fr-FR" w:eastAsia="fr-FR"/>
              </w:rPr>
              <w:t xml:space="preserve"> « </w:t>
            </w:r>
            <w:proofErr w:type="spellStart"/>
            <w:r w:rsidR="000A78B1" w:rsidRPr="00512CE7">
              <w:rPr>
                <w:snapToGrid/>
                <w:sz w:val="18"/>
                <w:szCs w:val="18"/>
                <w:lang w:val="fr-FR" w:eastAsia="fr-FR"/>
              </w:rPr>
              <w:t>mbaar</w:t>
            </w:r>
            <w:proofErr w:type="spellEnd"/>
            <w:r w:rsidR="000A78B1" w:rsidRPr="00512CE7">
              <w:rPr>
                <w:snapToGrid/>
                <w:sz w:val="18"/>
                <w:szCs w:val="18"/>
                <w:lang w:val="fr-FR" w:eastAsia="fr-FR"/>
              </w:rPr>
              <w:t> »</w:t>
            </w:r>
            <w:r w:rsidR="00911E8B" w:rsidRPr="00512CE7">
              <w:rPr>
                <w:snapToGrid/>
                <w:sz w:val="18"/>
                <w:szCs w:val="18"/>
                <w:lang w:val="fr-FR" w:eastAsia="fr-FR"/>
              </w:rPr>
              <w:t xml:space="preserve"> lieu de retraite (derrière le village) où les circoncis sont regroupés pendant un mois ;</w:t>
            </w:r>
          </w:p>
          <w:p w:rsidR="000A78B1" w:rsidRPr="00512CE7" w:rsidRDefault="00C878BD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lastRenderedPageBreak/>
              <w:t xml:space="preserve">le </w:t>
            </w:r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« </w:t>
            </w:r>
            <w:proofErr w:type="spellStart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Boumi</w:t>
            </w:r>
            <w:proofErr w:type="spellEnd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 »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 (le cadet de la lignée paternelle </w:t>
            </w:r>
            <w:proofErr w:type="gramStart"/>
            <w:r w:rsidRPr="00512CE7">
              <w:rPr>
                <w:snapToGrid/>
                <w:sz w:val="18"/>
                <w:szCs w:val="18"/>
                <w:lang w:val="fr-FR" w:eastAsia="fr-FR"/>
              </w:rPr>
              <w:t>du Aat</w:t>
            </w:r>
            <w:proofErr w:type="gramEnd"/>
            <w:r w:rsidRPr="00512CE7">
              <w:rPr>
                <w:snapToGrid/>
                <w:sz w:val="18"/>
                <w:szCs w:val="18"/>
                <w:lang w:val="fr-FR" w:eastAsia="fr-FR"/>
              </w:rPr>
              <w:t>),</w:t>
            </w:r>
          </w:p>
          <w:p w:rsidR="006E7974" w:rsidRPr="00512CE7" w:rsidRDefault="00C878BD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le </w:t>
            </w:r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« </w:t>
            </w:r>
            <w:proofErr w:type="spellStart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Laamdu</w:t>
            </w:r>
            <w:proofErr w:type="spellEnd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 »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 (frère aîné)</w:t>
            </w:r>
            <w:r w:rsidR="00911E8B" w:rsidRPr="00512CE7">
              <w:rPr>
                <w:snapToGrid/>
                <w:sz w:val="18"/>
                <w:szCs w:val="18"/>
                <w:lang w:val="fr-FR" w:eastAsia="fr-FR"/>
              </w:rPr>
              <w:t xml:space="preserve"> qui préparent 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>la scène et accompagnent le</w:t>
            </w:r>
            <w:r w:rsidR="00911E8B" w:rsidRPr="00512CE7"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 « Aat » partout où il</w:t>
            </w:r>
            <w:r w:rsidR="00911E8B" w:rsidRPr="00512CE7"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 se rend</w:t>
            </w:r>
            <w:r w:rsidR="00911E8B" w:rsidRPr="00512CE7">
              <w:rPr>
                <w:snapToGrid/>
                <w:sz w:val="18"/>
                <w:szCs w:val="18"/>
                <w:lang w:val="fr-FR" w:eastAsia="fr-FR"/>
              </w:rPr>
              <w:t xml:space="preserve">ent ; </w:t>
            </w:r>
          </w:p>
          <w:p w:rsidR="00911E8B" w:rsidRPr="00512CE7" w:rsidRDefault="00911E8B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Les femmes puisent de l’eau et préparent les repas des circoncis ;</w:t>
            </w:r>
          </w:p>
          <w:p w:rsidR="00911E8B" w:rsidRPr="00512CE7" w:rsidRDefault="00911E8B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Le cousin du « </w:t>
            </w:r>
            <w:proofErr w:type="spellStart"/>
            <w:r w:rsidRPr="00512CE7">
              <w:rPr>
                <w:snapToGrid/>
                <w:sz w:val="18"/>
                <w:szCs w:val="18"/>
                <w:lang w:val="fr-FR" w:eastAsia="fr-FR"/>
              </w:rPr>
              <w:t>aat</w:t>
            </w:r>
            <w:proofErr w:type="spellEnd"/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 » qui se charge de le </w:t>
            </w:r>
            <w:proofErr w:type="spellStart"/>
            <w:r w:rsidRPr="00512CE7">
              <w:rPr>
                <w:snapToGrid/>
                <w:sz w:val="18"/>
                <w:szCs w:val="18"/>
                <w:lang w:val="fr-FR" w:eastAsia="fr-FR"/>
              </w:rPr>
              <w:t>remplacer</w:t>
            </w:r>
            <w:proofErr w:type="gramStart"/>
            <w:r w:rsidR="008360C8" w:rsidRPr="00512CE7">
              <w:rPr>
                <w:snapToGrid/>
                <w:sz w:val="18"/>
                <w:szCs w:val="18"/>
                <w:lang w:val="fr-FR" w:eastAsia="fr-FR"/>
              </w:rPr>
              <w:t>,durant</w:t>
            </w:r>
            <w:proofErr w:type="spellEnd"/>
            <w:proofErr w:type="gramEnd"/>
            <w:r w:rsidR="008360C8" w:rsidRPr="00512CE7">
              <w:rPr>
                <w:snapToGrid/>
                <w:sz w:val="18"/>
                <w:szCs w:val="18"/>
                <w:lang w:val="fr-FR" w:eastAsia="fr-FR"/>
              </w:rPr>
              <w:t xml:space="preserve"> la période de la retraite initiatique, auprès des parents 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pour </w:t>
            </w:r>
            <w:r w:rsidR="008360C8" w:rsidRPr="00512CE7">
              <w:rPr>
                <w:snapToGrid/>
                <w:sz w:val="18"/>
                <w:szCs w:val="18"/>
                <w:lang w:val="fr-FR" w:eastAsia="fr-FR"/>
              </w:rPr>
              <w:t xml:space="preserve">assurer tous 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>les travaux domestiques qui lui étaient dévolus</w:t>
            </w:r>
            <w:r w:rsidR="008360C8" w:rsidRPr="00512CE7">
              <w:rPr>
                <w:snapToGrid/>
                <w:sz w:val="18"/>
                <w:szCs w:val="18"/>
                <w:lang w:val="fr-FR" w:eastAsia="fr-FR"/>
              </w:rPr>
              <w:t> ;</w:t>
            </w:r>
          </w:p>
          <w:p w:rsidR="00DF3FDB" w:rsidRPr="00512CE7" w:rsidRDefault="008360C8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Le </w:t>
            </w:r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« </w:t>
            </w:r>
            <w:proofErr w:type="spellStart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Koumakh</w:t>
            </w:r>
            <w:proofErr w:type="spellEnd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 »</w:t>
            </w:r>
            <w:r w:rsidR="00DF3FDB" w:rsidRPr="00512CE7">
              <w:rPr>
                <w:snapToGrid/>
                <w:sz w:val="18"/>
                <w:szCs w:val="18"/>
                <w:lang w:val="fr-FR" w:eastAsia="fr-FR"/>
              </w:rPr>
              <w:t xml:space="preserve"> est chargé des incantations protectrices de tous les circoncis.</w:t>
            </w:r>
          </w:p>
          <w:p w:rsidR="008360C8" w:rsidRPr="00512CE7" w:rsidRDefault="00DF3FDB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Le </w:t>
            </w:r>
            <w:proofErr w:type="spellStart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selbe</w:t>
            </w:r>
            <w:proofErr w:type="spellEnd"/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 est un surveillant qui s’occupe de l’</w:t>
            </w:r>
            <w:r w:rsidR="00F912F9" w:rsidRPr="00512CE7">
              <w:rPr>
                <w:snapToGrid/>
                <w:sz w:val="18"/>
                <w:szCs w:val="18"/>
                <w:lang w:val="fr-FR" w:eastAsia="fr-FR"/>
              </w:rPr>
              <w:t>ordre et de la discipline ainsi que des enseignements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 dans le « </w:t>
            </w:r>
            <w:proofErr w:type="spellStart"/>
            <w:r w:rsidRPr="00512CE7">
              <w:rPr>
                <w:snapToGrid/>
                <w:sz w:val="18"/>
                <w:szCs w:val="18"/>
                <w:lang w:val="fr-FR" w:eastAsia="fr-FR"/>
              </w:rPr>
              <w:t>mbaar</w:t>
            </w:r>
            <w:proofErr w:type="spellEnd"/>
            <w:r w:rsidRPr="00512CE7">
              <w:rPr>
                <w:snapToGrid/>
                <w:sz w:val="18"/>
                <w:szCs w:val="18"/>
                <w:lang w:val="fr-FR" w:eastAsia="fr-FR"/>
              </w:rPr>
              <w:t> » (case d’</w:t>
            </w:r>
            <w:r w:rsidR="00F912F9" w:rsidRPr="00512CE7">
              <w:rPr>
                <w:snapToGrid/>
                <w:sz w:val="18"/>
                <w:szCs w:val="18"/>
                <w:lang w:val="fr-FR" w:eastAsia="fr-FR"/>
              </w:rPr>
              <w:t>initiation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>),</w:t>
            </w:r>
          </w:p>
          <w:p w:rsidR="008360C8" w:rsidRPr="00512CE7" w:rsidRDefault="008360C8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Le  </w:t>
            </w:r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«</w:t>
            </w:r>
            <w:r w:rsidR="00F912F9" w:rsidRPr="00512CE7">
              <w:rPr>
                <w:b/>
                <w:snapToGrid/>
                <w:sz w:val="18"/>
                <w:szCs w:val="18"/>
                <w:lang w:val="fr-FR" w:eastAsia="fr-FR"/>
              </w:rPr>
              <w:t> </w:t>
            </w:r>
            <w:proofErr w:type="spellStart"/>
            <w:r w:rsidR="00F912F9" w:rsidRPr="00512CE7">
              <w:rPr>
                <w:b/>
                <w:snapToGrid/>
                <w:sz w:val="18"/>
                <w:szCs w:val="18"/>
                <w:lang w:val="fr-FR" w:eastAsia="fr-FR"/>
              </w:rPr>
              <w:t>maam</w:t>
            </w:r>
            <w:proofErr w:type="spellEnd"/>
            <w:r w:rsidR="00F912F9" w:rsidRPr="00512CE7">
              <w:rPr>
                <w:b/>
                <w:snapToGrid/>
                <w:sz w:val="18"/>
                <w:szCs w:val="18"/>
                <w:lang w:val="fr-FR" w:eastAsia="fr-FR"/>
              </w:rPr>
              <w:t> »,</w:t>
            </w:r>
            <w:r w:rsidR="00F912F9" w:rsidRPr="00512CE7">
              <w:rPr>
                <w:snapToGrid/>
                <w:sz w:val="18"/>
                <w:szCs w:val="18"/>
                <w:lang w:val="fr-FR" w:eastAsia="fr-FR"/>
              </w:rPr>
              <w:t xml:space="preserve"> c’est un personnage mythique qui a une force protectrice des circoncis. Il neutralise les sorciers</w:t>
            </w:r>
            <w:r w:rsidR="00E676F9" w:rsidRPr="00512CE7">
              <w:rPr>
                <w:snapToGrid/>
                <w:sz w:val="18"/>
                <w:szCs w:val="18"/>
                <w:lang w:val="fr-FR" w:eastAsia="fr-FR"/>
              </w:rPr>
              <w:t xml:space="preserve"> à distance par des incursions nocturnes. </w:t>
            </w:r>
          </w:p>
          <w:p w:rsidR="008360C8" w:rsidRPr="00512CE7" w:rsidRDefault="008360C8" w:rsidP="00512CE7">
            <w:pPr>
              <w:pStyle w:val="Paragraphedeliste"/>
              <w:numPr>
                <w:ilvl w:val="0"/>
                <w:numId w:val="27"/>
              </w:numPr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Le « </w:t>
            </w:r>
            <w:proofErr w:type="spellStart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Ng</w:t>
            </w:r>
            <w:r w:rsidR="00F63FD5" w:rsidRPr="00512CE7">
              <w:rPr>
                <w:b/>
                <w:snapToGrid/>
                <w:sz w:val="18"/>
                <w:szCs w:val="18"/>
                <w:lang w:val="fr-FR" w:eastAsia="fr-FR"/>
              </w:rPr>
              <w:t>a</w:t>
            </w:r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amaan</w:t>
            </w:r>
            <w:proofErr w:type="spellEnd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 »</w:t>
            </w:r>
            <w:proofErr w:type="gramStart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,</w:t>
            </w:r>
            <w:r w:rsidR="00BC1054" w:rsidRPr="00512CE7">
              <w:rPr>
                <w:snapToGrid/>
                <w:sz w:val="18"/>
                <w:szCs w:val="18"/>
                <w:lang w:val="fr-FR" w:eastAsia="fr-FR"/>
              </w:rPr>
              <w:t>est</w:t>
            </w:r>
            <w:proofErr w:type="gramEnd"/>
            <w:r w:rsidR="00BC1054" w:rsidRPr="00512CE7">
              <w:rPr>
                <w:snapToGrid/>
                <w:sz w:val="18"/>
                <w:szCs w:val="18"/>
                <w:lang w:val="fr-FR" w:eastAsia="fr-FR"/>
              </w:rPr>
              <w:t xml:space="preserve"> en général un forgeron. C’est lui qui est chargé d’effectuer l’acte de circoncision. Il est imbu de pouvoirs magico-religieux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  <w:p w:rsidR="008360C8" w:rsidRPr="00C63D70" w:rsidRDefault="008360C8" w:rsidP="00C63D70">
            <w:pPr>
              <w:pStyle w:val="Paragraphedeliste"/>
              <w:spacing w:before="0" w:after="0" w:line="276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lastRenderedPageBreak/>
              <w:t>2</w:t>
            </w: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.3.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  <w:p w:rsidR="00C35D03" w:rsidRPr="00C63D70" w:rsidRDefault="00C35D03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C35D03" w:rsidRPr="00512CE7" w:rsidRDefault="00C35D03" w:rsidP="00512CE7">
            <w:pPr>
              <w:pStyle w:val="Paragraphedeliste"/>
              <w:numPr>
                <w:ilvl w:val="0"/>
                <w:numId w:val="28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La langue sérère est la langue utilisée. Cependant, il existe aussi un langage codé que seuls les initiés peuvent décode</w:t>
            </w:r>
            <w:r w:rsidR="00227C97" w:rsidRPr="00512CE7">
              <w:rPr>
                <w:snapToGrid/>
                <w:sz w:val="18"/>
                <w:szCs w:val="18"/>
                <w:lang w:val="fr-FR" w:eastAsia="fr-FR"/>
              </w:rPr>
              <w:t>r.</w:t>
            </w:r>
          </w:p>
          <w:p w:rsidR="00C35D03" w:rsidRPr="00C63D70" w:rsidRDefault="00C35D03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C35D03" w:rsidRPr="00C63D70" w:rsidRDefault="00C35D03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2C547A" w:rsidRDefault="00C35D03" w:rsidP="00512CE7">
            <w:pPr>
              <w:pStyle w:val="Paragraphedeliste"/>
              <w:numPr>
                <w:ilvl w:val="0"/>
                <w:numId w:val="28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Les éléments matériels liés à la pratique du « </w:t>
            </w:r>
            <w:proofErr w:type="spellStart"/>
            <w:r w:rsidRPr="00512CE7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Pr="00512CE7">
              <w:rPr>
                <w:snapToGrid/>
                <w:sz w:val="18"/>
                <w:szCs w:val="18"/>
                <w:lang w:val="fr-FR" w:eastAsia="fr-FR"/>
              </w:rPr>
              <w:t> » sont : les perles</w:t>
            </w:r>
            <w:r w:rsidR="00CF1D6C" w:rsidRPr="00512CE7">
              <w:rPr>
                <w:snapToGrid/>
                <w:sz w:val="18"/>
                <w:szCs w:val="18"/>
                <w:lang w:val="fr-FR" w:eastAsia="fr-FR"/>
              </w:rPr>
              <w:t xml:space="preserve"> en « </w:t>
            </w:r>
            <w:proofErr w:type="spellStart"/>
            <w:r w:rsidR="00CF1D6C" w:rsidRPr="00512CE7">
              <w:rPr>
                <w:snapToGrid/>
                <w:sz w:val="18"/>
                <w:szCs w:val="18"/>
                <w:lang w:val="fr-FR" w:eastAsia="fr-FR"/>
              </w:rPr>
              <w:t>pémé</w:t>
            </w:r>
            <w:proofErr w:type="spellEnd"/>
            <w:r w:rsidR="0018514E" w:rsidRPr="00512CE7">
              <w:rPr>
                <w:snapToGrid/>
                <w:sz w:val="18"/>
                <w:szCs w:val="18"/>
                <w:lang w:val="fr-FR" w:eastAsia="fr-FR"/>
              </w:rPr>
              <w:t> »</w:t>
            </w:r>
            <w:r w:rsidR="002C547A">
              <w:rPr>
                <w:snapToGrid/>
                <w:sz w:val="18"/>
                <w:szCs w:val="18"/>
                <w:lang w:val="fr-FR" w:eastAsia="fr-FR"/>
              </w:rPr>
              <w:t>, le pagne</w:t>
            </w:r>
          </w:p>
          <w:p w:rsidR="00C35D03" w:rsidRDefault="00C35D03" w:rsidP="002C547A">
            <w:pPr>
              <w:spacing w:before="0" w:after="0" w:line="276" w:lineRule="auto"/>
              <w:ind w:left="47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2C547A">
              <w:rPr>
                <w:snapToGrid/>
                <w:sz w:val="18"/>
                <w:szCs w:val="18"/>
                <w:lang w:val="fr-FR" w:eastAsia="fr-FR"/>
              </w:rPr>
              <w:t xml:space="preserve">tissé à usage de vêtement. Le bleu indigo, le noir et </w:t>
            </w:r>
            <w:proofErr w:type="gramStart"/>
            <w:r w:rsidRPr="002C547A">
              <w:rPr>
                <w:snapToGrid/>
                <w:sz w:val="18"/>
                <w:szCs w:val="18"/>
                <w:lang w:val="fr-FR" w:eastAsia="fr-FR"/>
              </w:rPr>
              <w:t>la</w:t>
            </w:r>
            <w:proofErr w:type="gramEnd"/>
            <w:r w:rsidRPr="002C547A">
              <w:rPr>
                <w:snapToGrid/>
                <w:sz w:val="18"/>
                <w:szCs w:val="18"/>
                <w:lang w:val="fr-FR" w:eastAsia="fr-FR"/>
              </w:rPr>
              <w:t xml:space="preserve"> jaune sont les couleurs préférées</w:t>
            </w:r>
            <w:r w:rsidR="0018514E" w:rsidRPr="002C547A">
              <w:rPr>
                <w:snapToGrid/>
                <w:sz w:val="18"/>
                <w:szCs w:val="18"/>
                <w:lang w:val="fr-FR" w:eastAsia="fr-FR"/>
              </w:rPr>
              <w:t xml:space="preserve"> pour c</w:t>
            </w:r>
            <w:r w:rsidRPr="002C547A">
              <w:rPr>
                <w:snapToGrid/>
                <w:sz w:val="18"/>
                <w:szCs w:val="18"/>
                <w:lang w:val="fr-FR" w:eastAsia="fr-FR"/>
              </w:rPr>
              <w:t>e</w:t>
            </w:r>
            <w:r w:rsidR="0018514E" w:rsidRPr="002C547A">
              <w:rPr>
                <w:snapToGrid/>
                <w:sz w:val="18"/>
                <w:szCs w:val="18"/>
                <w:lang w:val="fr-FR" w:eastAsia="fr-FR"/>
              </w:rPr>
              <w:t xml:space="preserve">s vêtements. On peut également noter les boubous de femmes et les </w:t>
            </w:r>
            <w:proofErr w:type="spellStart"/>
            <w:r w:rsidR="0018514E" w:rsidRPr="002C547A">
              <w:rPr>
                <w:snapToGrid/>
                <w:sz w:val="18"/>
                <w:szCs w:val="18"/>
                <w:lang w:val="fr-FR" w:eastAsia="fr-FR"/>
              </w:rPr>
              <w:t>gris gris</w:t>
            </w:r>
            <w:proofErr w:type="spellEnd"/>
            <w:r w:rsidR="0018514E" w:rsidRPr="002C547A">
              <w:rPr>
                <w:snapToGrid/>
                <w:sz w:val="18"/>
                <w:szCs w:val="18"/>
                <w:lang w:val="fr-FR" w:eastAsia="fr-FR"/>
              </w:rPr>
              <w:t xml:space="preserve"> (</w:t>
            </w:r>
            <w:proofErr w:type="spellStart"/>
            <w:r w:rsidR="0018514E" w:rsidRPr="002C547A">
              <w:rPr>
                <w:snapToGrid/>
                <w:sz w:val="18"/>
                <w:szCs w:val="18"/>
                <w:lang w:val="fr-FR" w:eastAsia="fr-FR"/>
              </w:rPr>
              <w:t>ndombo</w:t>
            </w:r>
            <w:proofErr w:type="spellEnd"/>
            <w:r w:rsidR="0018514E" w:rsidRPr="002C547A">
              <w:rPr>
                <w:snapToGrid/>
                <w:sz w:val="18"/>
                <w:szCs w:val="18"/>
                <w:lang w:val="fr-FR" w:eastAsia="fr-FR"/>
              </w:rPr>
              <w:t>).</w:t>
            </w:r>
          </w:p>
          <w:p w:rsidR="0018514E" w:rsidRDefault="00447324" w:rsidP="00E50BAB">
            <w:pPr>
              <w:pStyle w:val="Paragraphedeliste"/>
              <w:numPr>
                <w:ilvl w:val="0"/>
                <w:numId w:val="28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447324">
              <w:rPr>
                <w:snapToGrid/>
                <w:sz w:val="18"/>
                <w:szCs w:val="18"/>
                <w:lang w:val="fr-FR" w:eastAsia="fr-FR"/>
              </w:rPr>
              <w:t>Tam-tams</w:t>
            </w:r>
            <w:r w:rsidR="00E50BAB">
              <w:rPr>
                <w:snapToGrid/>
                <w:sz w:val="18"/>
                <w:szCs w:val="18"/>
                <w:lang w:val="fr-FR" w:eastAsia="fr-FR"/>
              </w:rPr>
              <w:t xml:space="preserve"> accompagnent la danse des candidats à la circoncision</w:t>
            </w:r>
          </w:p>
          <w:p w:rsidR="00E50BAB" w:rsidRPr="00E50BAB" w:rsidRDefault="002A6C4B" w:rsidP="00E50BAB">
            <w:pPr>
              <w:pStyle w:val="Paragraphedeliste"/>
              <w:numPr>
                <w:ilvl w:val="0"/>
                <w:numId w:val="28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Un canari est porté par la sœur pour donner à boire au candidat  </w:t>
            </w: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18514E" w:rsidRPr="00C63D70" w:rsidRDefault="0018514E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2A31D7" w:rsidRPr="00C63D70" w:rsidRDefault="002A31D7" w:rsidP="00512CE7">
            <w:pPr>
              <w:pStyle w:val="Paragraphedeliste"/>
              <w:numPr>
                <w:ilvl w:val="0"/>
                <w:numId w:val="28"/>
              </w:numPr>
              <w:spacing w:before="0" w:after="0" w:line="276" w:lineRule="auto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Le « ASU »</w:t>
            </w:r>
          </w:p>
          <w:p w:rsidR="00EC283F" w:rsidRPr="00C63D70" w:rsidRDefault="00EC283F" w:rsidP="00C63D70">
            <w:p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snapToGrid/>
                <w:sz w:val="18"/>
                <w:szCs w:val="18"/>
                <w:lang w:val="fr-FR" w:eastAsia="fr-FR"/>
              </w:rPr>
              <w:t>Préalablement au « </w:t>
            </w:r>
            <w:proofErr w:type="spellStart"/>
            <w:r w:rsidRPr="00C63D70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Pr="00C63D70">
              <w:rPr>
                <w:snapToGrid/>
                <w:sz w:val="18"/>
                <w:szCs w:val="18"/>
                <w:lang w:val="fr-FR" w:eastAsia="fr-FR"/>
              </w:rPr>
              <w:t> », le « Aat » doit effectuer un « </w:t>
            </w:r>
            <w:proofErr w:type="spellStart"/>
            <w:r w:rsidRPr="00C63D70">
              <w:rPr>
                <w:snapToGrid/>
                <w:sz w:val="18"/>
                <w:szCs w:val="18"/>
                <w:lang w:val="fr-FR" w:eastAsia="fr-FR"/>
              </w:rPr>
              <w:t>asu</w:t>
            </w:r>
            <w:proofErr w:type="spellEnd"/>
            <w:r w:rsidRPr="00C63D70">
              <w:rPr>
                <w:snapToGrid/>
                <w:sz w:val="18"/>
                <w:szCs w:val="18"/>
                <w:lang w:val="fr-FR" w:eastAsia="fr-FR"/>
              </w:rPr>
              <w:t xml:space="preserve"> » c'est-à-dire un long périple d’au revoir auprès des parents </w:t>
            </w:r>
            <w:r w:rsidR="0018514E" w:rsidRPr="00C63D70">
              <w:rPr>
                <w:snapToGrid/>
                <w:sz w:val="18"/>
                <w:szCs w:val="18"/>
                <w:lang w:val="fr-FR" w:eastAsia="fr-FR"/>
              </w:rPr>
              <w:t xml:space="preserve">proches et </w:t>
            </w:r>
            <w:r w:rsidRPr="00C63D70">
              <w:rPr>
                <w:snapToGrid/>
                <w:sz w:val="18"/>
                <w:szCs w:val="18"/>
                <w:lang w:val="fr-FR" w:eastAsia="fr-FR"/>
              </w:rPr>
              <w:t>lointains qui lui prodiguent des libations et des gris-gris protecteurs.</w:t>
            </w:r>
          </w:p>
          <w:p w:rsidR="002A31D7" w:rsidRPr="00512CE7" w:rsidRDefault="002A31D7" w:rsidP="00512CE7">
            <w:pPr>
              <w:pStyle w:val="Paragraphedeliste"/>
              <w:numPr>
                <w:ilvl w:val="0"/>
                <w:numId w:val="28"/>
              </w:numPr>
              <w:spacing w:before="0" w:after="0" w:line="276" w:lineRule="auto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Le « NDUT NE »</w:t>
            </w:r>
          </w:p>
          <w:p w:rsidR="002A31D7" w:rsidRPr="00C63D70" w:rsidRDefault="002A31D7" w:rsidP="00C63D70">
            <w:p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snapToGrid/>
                <w:sz w:val="18"/>
                <w:szCs w:val="18"/>
                <w:lang w:val="fr-FR" w:eastAsia="fr-FR"/>
              </w:rPr>
              <w:t>C’est la séance de circoncision proprement dite. Elle a lieu vers l’après-midi du vendredi, dernier jour du « </w:t>
            </w:r>
            <w:proofErr w:type="spellStart"/>
            <w:r w:rsidRPr="00C63D70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Pr="00C63D70">
              <w:rPr>
                <w:snapToGrid/>
                <w:sz w:val="18"/>
                <w:szCs w:val="18"/>
                <w:lang w:val="fr-FR" w:eastAsia="fr-FR"/>
              </w:rPr>
              <w:t xml:space="preserve"> ». </w:t>
            </w:r>
          </w:p>
          <w:p w:rsidR="0018514E" w:rsidRPr="00C63D70" w:rsidRDefault="0018514E" w:rsidP="00C63D70">
            <w:p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2A31D7" w:rsidRPr="00512CE7" w:rsidRDefault="009D65BA" w:rsidP="00512CE7">
            <w:pPr>
              <w:pStyle w:val="Paragraphedeliste"/>
              <w:numPr>
                <w:ilvl w:val="0"/>
                <w:numId w:val="28"/>
              </w:numPr>
              <w:spacing w:before="0" w:after="0" w:line="276" w:lineRule="auto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Le</w:t>
            </w:r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 xml:space="preserve"> « </w:t>
            </w:r>
            <w:proofErr w:type="spellStart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ngoomaar</w:t>
            </w:r>
            <w:proofErr w:type="spellEnd"/>
            <w:r w:rsidRPr="00512CE7">
              <w:rPr>
                <w:b/>
                <w:snapToGrid/>
                <w:sz w:val="18"/>
                <w:szCs w:val="18"/>
                <w:lang w:val="fr-FR" w:eastAsia="fr-FR"/>
              </w:rPr>
              <w:t> »</w:t>
            </w:r>
            <w:r w:rsidR="00BF632A" w:rsidRPr="00512CE7">
              <w:rPr>
                <w:snapToGrid/>
                <w:sz w:val="18"/>
                <w:szCs w:val="18"/>
                <w:lang w:val="fr-FR" w:eastAsia="fr-FR"/>
              </w:rPr>
              <w:t xml:space="preserve">en tant que pratique a </w:t>
            </w:r>
            <w:r w:rsidR="00FD1944" w:rsidRPr="00512CE7">
              <w:rPr>
                <w:snapToGrid/>
                <w:sz w:val="18"/>
                <w:szCs w:val="18"/>
                <w:lang w:val="fr-FR" w:eastAsia="fr-FR"/>
              </w:rPr>
              <w:t>sur</w:t>
            </w:r>
            <w:r w:rsidR="00BF632A" w:rsidRPr="00512CE7">
              <w:rPr>
                <w:snapToGrid/>
                <w:sz w:val="18"/>
                <w:szCs w:val="18"/>
                <w:lang w:val="fr-FR" w:eastAsia="fr-FR"/>
              </w:rPr>
              <w:t>vécu dans la société</w:t>
            </w:r>
            <w:r w:rsidR="009E71C5" w:rsidRPr="00512CE7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9E71C5" w:rsidRPr="00512CE7">
              <w:rPr>
                <w:snapToGrid/>
                <w:sz w:val="18"/>
                <w:szCs w:val="18"/>
                <w:lang w:val="fr-FR" w:eastAsia="fr-FR"/>
              </w:rPr>
              <w:t>sérère</w:t>
            </w:r>
            <w:r w:rsidR="00C72F51" w:rsidRPr="00512CE7">
              <w:rPr>
                <w:snapToGrid/>
                <w:sz w:val="18"/>
                <w:szCs w:val="18"/>
                <w:lang w:val="fr-FR" w:eastAsia="fr-FR"/>
              </w:rPr>
              <w:t>grâce</w:t>
            </w:r>
            <w:proofErr w:type="spellEnd"/>
            <w:r w:rsidR="00BF632A" w:rsidRPr="00512CE7">
              <w:rPr>
                <w:snapToGrid/>
                <w:sz w:val="18"/>
                <w:szCs w:val="18"/>
                <w:lang w:val="fr-FR" w:eastAsia="fr-FR"/>
              </w:rPr>
              <w:t xml:space="preserve"> à la</w:t>
            </w:r>
            <w:r w:rsidR="002A31D7" w:rsidRPr="00512CE7">
              <w:rPr>
                <w:snapToGrid/>
                <w:sz w:val="18"/>
                <w:szCs w:val="18"/>
                <w:lang w:val="fr-FR" w:eastAsia="fr-FR"/>
              </w:rPr>
              <w:t xml:space="preserve"> circoncision traditionnelle</w:t>
            </w:r>
            <w:r w:rsidR="00D25C9F" w:rsidRPr="00512CE7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  <w:p w:rsidR="0018514E" w:rsidRPr="00C63D70" w:rsidRDefault="0018514E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2.7</w:t>
            </w:r>
            <w:r w:rsidRPr="00C63D70">
              <w:rPr>
                <w:sz w:val="18"/>
                <w:szCs w:val="18"/>
                <w:lang w:val="fr-FR" w:eastAsia="fr-FR"/>
              </w:rPr>
              <w:t>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</w:p>
          <w:p w:rsidR="0018514E" w:rsidRPr="00C63D70" w:rsidRDefault="0018514E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18514E" w:rsidRPr="00512CE7" w:rsidRDefault="00B27663" w:rsidP="00512CE7">
            <w:pPr>
              <w:pStyle w:val="Paragraphedeliste"/>
              <w:numPr>
                <w:ilvl w:val="0"/>
                <w:numId w:val="28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L</w:t>
            </w:r>
            <w:r w:rsidR="00D565C2" w:rsidRPr="00512CE7">
              <w:rPr>
                <w:snapToGrid/>
                <w:sz w:val="18"/>
                <w:szCs w:val="18"/>
                <w:lang w:val="fr-FR" w:eastAsia="fr-FR"/>
              </w:rPr>
              <w:t xml:space="preserve">a transmission 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>s’</w:t>
            </w:r>
            <w:r w:rsidR="00D565C2" w:rsidRPr="00512CE7">
              <w:rPr>
                <w:snapToGrid/>
                <w:sz w:val="18"/>
                <w:szCs w:val="18"/>
                <w:lang w:val="fr-FR" w:eastAsia="fr-FR"/>
              </w:rPr>
              <w:t>est fa</w:t>
            </w: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it de génération à génération au sein des familles </w:t>
            </w:r>
            <w:r w:rsidR="00BB1E1D" w:rsidRPr="00512CE7">
              <w:rPr>
                <w:snapToGrid/>
                <w:sz w:val="18"/>
                <w:szCs w:val="18"/>
                <w:lang w:val="fr-FR" w:eastAsia="fr-FR"/>
              </w:rPr>
              <w:t>et dans la</w:t>
            </w:r>
            <w:r w:rsidR="00F57B4C" w:rsidRPr="00512CE7">
              <w:rPr>
                <w:snapToGrid/>
                <w:sz w:val="18"/>
                <w:szCs w:val="18"/>
                <w:lang w:val="fr-FR" w:eastAsia="fr-FR"/>
              </w:rPr>
              <w:t xml:space="preserve"> et communauté </w:t>
            </w:r>
            <w:r w:rsidR="0018514E" w:rsidRPr="00512CE7">
              <w:rPr>
                <w:snapToGrid/>
                <w:sz w:val="18"/>
                <w:szCs w:val="18"/>
                <w:lang w:val="fr-FR" w:eastAsia="fr-FR"/>
              </w:rPr>
              <w:t>par le biais de l’éducation traditionnelle.</w:t>
            </w:r>
          </w:p>
          <w:p w:rsidR="0018514E" w:rsidRPr="00C63D70" w:rsidRDefault="0018514E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  <w:p w:rsidR="0018514E" w:rsidRPr="002A6C4B" w:rsidRDefault="0032227D" w:rsidP="0032227D">
            <w:pPr>
              <w:pStyle w:val="Paragraphedeliste"/>
              <w:numPr>
                <w:ilvl w:val="0"/>
                <w:numId w:val="26"/>
              </w:numPr>
              <w:spacing w:before="0" w:after="0" w:line="276" w:lineRule="auto"/>
              <w:jc w:val="left"/>
              <w:rPr>
                <w:snapToGrid/>
                <w:szCs w:val="18"/>
                <w:lang w:val="fr-FR" w:eastAsia="fr-FR"/>
              </w:rPr>
            </w:pPr>
            <w:r w:rsidRPr="002A6C4B">
              <w:rPr>
                <w:snapToGrid/>
                <w:szCs w:val="18"/>
                <w:lang w:val="fr-FR" w:eastAsia="fr-FR"/>
              </w:rPr>
              <w:t xml:space="preserve">Evénement communautaire bâti sur base hiérarchique de responsabilités dont les principales sont détenues par un cercle restreint de doyens et de patriarches reconnus et acceptés par la collectivité </w:t>
            </w:r>
          </w:p>
          <w:p w:rsidR="0018514E" w:rsidRPr="00C63D70" w:rsidRDefault="0018514E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F2F2F2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642" w:type="dxa"/>
            <w:shd w:val="clear" w:color="auto" w:fill="F2F2F2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 w:right="57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FE67AD" w:rsidRPr="00C63D70" w:rsidRDefault="00FE67AD" w:rsidP="00C63D70">
            <w:pPr>
              <w:spacing w:before="0" w:after="0" w:line="276" w:lineRule="auto"/>
              <w:ind w:left="113" w:right="57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2C547A" w:rsidRDefault="00FE67AD" w:rsidP="00274022">
            <w:pPr>
              <w:pStyle w:val="Paragraphedeliste"/>
              <w:numPr>
                <w:ilvl w:val="0"/>
                <w:numId w:val="26"/>
              </w:numPr>
              <w:spacing w:before="0" w:after="0" w:line="276" w:lineRule="auto"/>
              <w:ind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274022">
              <w:rPr>
                <w:snapToGrid/>
                <w:sz w:val="18"/>
                <w:szCs w:val="18"/>
                <w:lang w:val="fr-FR" w:eastAsia="fr-FR"/>
              </w:rPr>
              <w:lastRenderedPageBreak/>
              <w:t>Le dernier « </w:t>
            </w:r>
            <w:proofErr w:type="spellStart"/>
            <w:r w:rsidRPr="00274022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Pr="00274022">
              <w:rPr>
                <w:snapToGrid/>
                <w:sz w:val="18"/>
                <w:szCs w:val="18"/>
                <w:lang w:val="fr-FR" w:eastAsia="fr-FR"/>
              </w:rPr>
              <w:t xml:space="preserve"> » organisé dans le village de </w:t>
            </w:r>
            <w:proofErr w:type="spellStart"/>
            <w:r w:rsidRPr="00274022">
              <w:rPr>
                <w:snapToGrid/>
                <w:sz w:val="18"/>
                <w:szCs w:val="18"/>
                <w:lang w:val="fr-FR" w:eastAsia="fr-FR"/>
              </w:rPr>
              <w:t>Bambey</w:t>
            </w:r>
            <w:proofErr w:type="spellEnd"/>
            <w:r w:rsidRPr="00274022">
              <w:rPr>
                <w:snapToGrid/>
                <w:sz w:val="18"/>
                <w:szCs w:val="18"/>
                <w:lang w:val="fr-FR" w:eastAsia="fr-FR"/>
              </w:rPr>
              <w:t xml:space="preserve"> s</w:t>
            </w:r>
            <w:r w:rsidR="002C547A">
              <w:rPr>
                <w:snapToGrid/>
                <w:sz w:val="18"/>
                <w:szCs w:val="18"/>
                <w:lang w:val="fr-FR" w:eastAsia="fr-FR"/>
              </w:rPr>
              <w:t>érère date de 1959. Les raisons</w:t>
            </w:r>
          </w:p>
          <w:p w:rsidR="00FE67AD" w:rsidRPr="002C547A" w:rsidRDefault="00FE67AD" w:rsidP="002C547A">
            <w:pPr>
              <w:spacing w:before="0" w:after="0" w:line="276" w:lineRule="auto"/>
              <w:ind w:left="47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2C547A">
              <w:rPr>
                <w:snapToGrid/>
                <w:sz w:val="18"/>
                <w:szCs w:val="18"/>
                <w:lang w:val="fr-FR" w:eastAsia="fr-FR"/>
              </w:rPr>
              <w:t xml:space="preserve">évoquées sont, entre autres, la modernisation de la circoncision et les interdits de la religion islamique. Cependant, il faut noter que les sérères </w:t>
            </w:r>
            <w:proofErr w:type="spellStart"/>
            <w:r w:rsidRPr="002C547A">
              <w:rPr>
                <w:snapToGrid/>
                <w:sz w:val="18"/>
                <w:szCs w:val="18"/>
                <w:lang w:val="fr-FR" w:eastAsia="fr-FR"/>
              </w:rPr>
              <w:t>mbayaar</w:t>
            </w:r>
            <w:proofErr w:type="spellEnd"/>
            <w:r w:rsidRPr="002C547A">
              <w:rPr>
                <w:snapToGrid/>
                <w:sz w:val="18"/>
                <w:szCs w:val="18"/>
                <w:lang w:val="fr-FR" w:eastAsia="fr-FR"/>
              </w:rPr>
              <w:t xml:space="preserve"> de Diour</w:t>
            </w:r>
            <w:r w:rsidR="00F4030E" w:rsidRPr="002C547A">
              <w:rPr>
                <w:snapToGrid/>
                <w:sz w:val="18"/>
                <w:szCs w:val="18"/>
                <w:lang w:val="fr-FR" w:eastAsia="fr-FR"/>
              </w:rPr>
              <w:t>bel ont continué cette pratique</w:t>
            </w:r>
            <w:r w:rsidR="00D565C2" w:rsidRPr="002C547A">
              <w:rPr>
                <w:snapToGrid/>
                <w:sz w:val="18"/>
                <w:szCs w:val="18"/>
                <w:lang w:val="fr-FR" w:eastAsia="fr-FR"/>
              </w:rPr>
              <w:t xml:space="preserve"> jusqu’à un passé très récent</w:t>
            </w:r>
            <w:r w:rsidR="00F4030E" w:rsidRPr="002C547A">
              <w:rPr>
                <w:snapToGrid/>
                <w:sz w:val="18"/>
                <w:szCs w:val="18"/>
                <w:lang w:val="fr-FR" w:eastAsia="fr-FR"/>
              </w:rPr>
              <w:t xml:space="preserve">, même si la fréquence et la régularité </w:t>
            </w:r>
            <w:r w:rsidR="00D565C2" w:rsidRPr="002C547A">
              <w:rPr>
                <w:snapToGrid/>
                <w:sz w:val="18"/>
                <w:szCs w:val="18"/>
                <w:lang w:val="fr-FR" w:eastAsia="fr-FR"/>
              </w:rPr>
              <w:t>ont souffert</w:t>
            </w:r>
            <w:r w:rsidR="00F4030E" w:rsidRPr="002C547A">
              <w:rPr>
                <w:snapToGrid/>
                <w:sz w:val="18"/>
                <w:szCs w:val="18"/>
                <w:lang w:val="fr-FR" w:eastAsia="fr-FR"/>
              </w:rPr>
              <w:t xml:space="preserve"> des contraintes précitées. Néanmoins, les représentations du « </w:t>
            </w:r>
            <w:proofErr w:type="spellStart"/>
            <w:r w:rsidR="00F4030E" w:rsidRPr="002C547A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="00F4030E" w:rsidRPr="002C547A">
              <w:rPr>
                <w:snapToGrid/>
                <w:sz w:val="18"/>
                <w:szCs w:val="18"/>
                <w:lang w:val="fr-FR" w:eastAsia="fr-FR"/>
              </w:rPr>
              <w:t xml:space="preserve"> »  dans les spectacles de théâtre et de danse sont fréquentes dans les régions de Diourbel et de Louga. Et très souvent ces représentations ne concernent </w:t>
            </w:r>
            <w:r w:rsidR="00D565C2" w:rsidRPr="002C547A">
              <w:rPr>
                <w:snapToGrid/>
                <w:sz w:val="18"/>
                <w:szCs w:val="18"/>
                <w:lang w:val="fr-FR" w:eastAsia="fr-FR"/>
              </w:rPr>
              <w:t xml:space="preserve">que </w:t>
            </w:r>
            <w:r w:rsidR="00F4030E" w:rsidRPr="002C547A">
              <w:rPr>
                <w:snapToGrid/>
                <w:sz w:val="18"/>
                <w:szCs w:val="18"/>
                <w:lang w:val="fr-FR" w:eastAsia="fr-FR"/>
              </w:rPr>
              <w:t xml:space="preserve">les expressions immatérielles liées au </w:t>
            </w:r>
            <w:proofErr w:type="spellStart"/>
            <w:r w:rsidR="00F4030E" w:rsidRPr="002C547A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="00F4030E" w:rsidRPr="002C547A">
              <w:rPr>
                <w:snapToGrid/>
                <w:sz w:val="18"/>
                <w:szCs w:val="18"/>
                <w:lang w:val="fr-FR" w:eastAsia="fr-FR"/>
              </w:rPr>
              <w:t>, tels que les chants, la danse.</w:t>
            </w:r>
          </w:p>
          <w:p w:rsidR="00227C97" w:rsidRPr="00C63D70" w:rsidRDefault="00227C97" w:rsidP="00C63D70">
            <w:pPr>
              <w:spacing w:before="0" w:after="0" w:line="276" w:lineRule="auto"/>
              <w:ind w:left="113" w:right="57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lastRenderedPageBreak/>
              <w:t>3.2.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</w:p>
          <w:p w:rsidR="00FE67AD" w:rsidRPr="00C63D70" w:rsidRDefault="00FE67AD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FE67AD" w:rsidRPr="00274022" w:rsidRDefault="001C42A0" w:rsidP="00274022">
            <w:pPr>
              <w:pStyle w:val="Paragraphedeliste"/>
              <w:numPr>
                <w:ilvl w:val="0"/>
                <w:numId w:val="26"/>
              </w:numPr>
              <w:spacing w:before="0" w:after="0" w:line="276" w:lineRule="auto"/>
              <w:jc w:val="left"/>
              <w:rPr>
                <w:bCs/>
                <w:kern w:val="28"/>
                <w:sz w:val="18"/>
                <w:szCs w:val="18"/>
                <w:lang w:val="fr-FR" w:eastAsia="fr-FR"/>
              </w:rPr>
            </w:pPr>
            <w:r w:rsidRPr="00274022">
              <w:rPr>
                <w:bCs/>
                <w:kern w:val="28"/>
                <w:sz w:val="18"/>
                <w:szCs w:val="18"/>
                <w:lang w:val="fr-FR" w:eastAsia="fr-FR"/>
              </w:rPr>
              <w:t>L</w:t>
            </w:r>
            <w:r w:rsidR="00F4030E" w:rsidRPr="00274022">
              <w:rPr>
                <w:bCs/>
                <w:kern w:val="28"/>
                <w:sz w:val="18"/>
                <w:szCs w:val="18"/>
                <w:lang w:val="fr-FR" w:eastAsia="fr-FR"/>
              </w:rPr>
              <w:t xml:space="preserve">a transmission </w:t>
            </w:r>
            <w:r w:rsidR="00D565C2" w:rsidRPr="00274022">
              <w:rPr>
                <w:bCs/>
                <w:kern w:val="28"/>
                <w:sz w:val="18"/>
                <w:szCs w:val="18"/>
                <w:lang w:val="fr-FR" w:eastAsia="fr-FR"/>
              </w:rPr>
              <w:t xml:space="preserve">intergénérationnelle a été </w:t>
            </w:r>
            <w:r w:rsidR="00F4030E" w:rsidRPr="00274022">
              <w:rPr>
                <w:bCs/>
                <w:kern w:val="28"/>
                <w:sz w:val="18"/>
                <w:szCs w:val="18"/>
                <w:lang w:val="fr-FR" w:eastAsia="fr-FR"/>
              </w:rPr>
              <w:t>interrompue</w:t>
            </w:r>
            <w:r w:rsidR="00D565C2" w:rsidRPr="00274022">
              <w:rPr>
                <w:bCs/>
                <w:kern w:val="28"/>
                <w:sz w:val="18"/>
                <w:szCs w:val="18"/>
                <w:lang w:val="fr-FR" w:eastAsia="fr-FR"/>
              </w:rPr>
              <w:t>, eu égard à l’abandon de cette pratique depuis  plus de 50 ans.</w:t>
            </w:r>
          </w:p>
          <w:p w:rsidR="00D565C2" w:rsidRPr="00C63D70" w:rsidRDefault="00D565C2" w:rsidP="00C63D70">
            <w:pPr>
              <w:spacing w:before="0" w:after="0" w:line="276" w:lineRule="auto"/>
              <w:ind w:left="113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320555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 xml:space="preserve">menaces pesant sur un accès durable aux éléments matériels et aux ressources (le cas échéant) associés à l’élément du </w:t>
            </w:r>
            <w:proofErr w:type="spellStart"/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pci</w:t>
            </w:r>
            <w:proofErr w:type="spellEnd"/>
          </w:p>
          <w:p w:rsidR="000161F3" w:rsidRPr="00C63D70" w:rsidRDefault="000161F3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0161F3" w:rsidRPr="00C63D70" w:rsidRDefault="00320555" w:rsidP="00C63D70">
            <w:pPr>
              <w:pStyle w:val="Paragraphedeliste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>rareté de la perle « </w:t>
            </w:r>
            <w:proofErr w:type="spellStart"/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>peme</w:t>
            </w:r>
            <w:proofErr w:type="spellEnd"/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 xml:space="preserve"> » conservée jalousement par les vieilles femmes qui meurent sans faire connaître aux jeunes femmes la valeur de ladite perle. </w:t>
            </w:r>
          </w:p>
          <w:p w:rsidR="00320555" w:rsidRPr="00C63D70" w:rsidRDefault="00320555" w:rsidP="00C63D70">
            <w:pPr>
              <w:pStyle w:val="Paragraphedeliste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 xml:space="preserve">la faible production du pagne tissé due souvent </w:t>
            </w:r>
            <w:proofErr w:type="gramStart"/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>à la</w:t>
            </w:r>
            <w:proofErr w:type="gramEnd"/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 xml:space="preserve"> non transmission du </w:t>
            </w:r>
            <w:proofErr w:type="spellStart"/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>savoir faire</w:t>
            </w:r>
            <w:proofErr w:type="spellEnd"/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 xml:space="preserve"> des vieux tisserands aux jeunes.</w:t>
            </w:r>
          </w:p>
          <w:p w:rsidR="00320555" w:rsidRPr="00C63D70" w:rsidRDefault="00320555" w:rsidP="00C63D70">
            <w:pPr>
              <w:spacing w:before="0" w:after="0" w:line="276" w:lineRule="auto"/>
              <w:ind w:left="113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 xml:space="preserve">Par ailleurs, toutes ces menaces sont accentuées par l’abandon de la pratique du </w:t>
            </w:r>
            <w:proofErr w:type="spellStart"/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>ngomaar</w:t>
            </w:r>
            <w:proofErr w:type="spellEnd"/>
            <w:r w:rsidRPr="00C63D70">
              <w:rPr>
                <w:bCs/>
                <w:kern w:val="28"/>
                <w:sz w:val="18"/>
                <w:szCs w:val="18"/>
                <w:lang w:val="fr-FR" w:eastAsia="fr-FR"/>
              </w:rPr>
              <w:t xml:space="preserve"> par la communauté.</w:t>
            </w: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320555" w:rsidRPr="00C63D70" w:rsidRDefault="00320555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2C547A" w:rsidRDefault="00F408C4" w:rsidP="00512CE7">
            <w:pPr>
              <w:pStyle w:val="Paragraphedeliste"/>
              <w:numPr>
                <w:ilvl w:val="0"/>
                <w:numId w:val="26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Les éléments immatériels liés au </w:t>
            </w:r>
            <w:proofErr w:type="spellStart"/>
            <w:r w:rsidRPr="00512CE7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 ont disparu avec l’a</w:t>
            </w:r>
            <w:r w:rsidR="002C547A">
              <w:rPr>
                <w:snapToGrid/>
                <w:sz w:val="18"/>
                <w:szCs w:val="18"/>
                <w:lang w:val="fr-FR" w:eastAsia="fr-FR"/>
              </w:rPr>
              <w:t>bandon de la pratique. Certains</w:t>
            </w:r>
          </w:p>
          <w:p w:rsidR="00320555" w:rsidRPr="002C547A" w:rsidRDefault="00F408C4" w:rsidP="002C547A">
            <w:pPr>
              <w:spacing w:before="0" w:after="0" w:line="276" w:lineRule="auto"/>
              <w:ind w:left="47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2C547A">
              <w:rPr>
                <w:snapToGrid/>
                <w:sz w:val="18"/>
                <w:szCs w:val="18"/>
                <w:lang w:val="fr-FR" w:eastAsia="fr-FR"/>
              </w:rPr>
              <w:t xml:space="preserve">comme la danse et les chants sont repris et </w:t>
            </w:r>
            <w:r w:rsidR="00270B08" w:rsidRPr="002C547A">
              <w:rPr>
                <w:snapToGrid/>
                <w:sz w:val="18"/>
                <w:szCs w:val="18"/>
                <w:lang w:val="fr-FR" w:eastAsia="fr-FR"/>
              </w:rPr>
              <w:t>interprétés</w:t>
            </w:r>
            <w:r w:rsidRPr="002C547A">
              <w:rPr>
                <w:snapToGrid/>
                <w:sz w:val="18"/>
                <w:szCs w:val="18"/>
                <w:lang w:val="fr-FR" w:eastAsia="fr-FR"/>
              </w:rPr>
              <w:t xml:space="preserve"> par des artistes</w:t>
            </w:r>
            <w:r w:rsidR="00584C29" w:rsidRPr="002C547A">
              <w:rPr>
                <w:snapToGrid/>
                <w:sz w:val="18"/>
                <w:szCs w:val="18"/>
                <w:lang w:val="fr-FR" w:eastAsia="fr-FR"/>
              </w:rPr>
              <w:t xml:space="preserve"> d’où leur </w:t>
            </w:r>
            <w:r w:rsidR="00F06656" w:rsidRPr="002C547A">
              <w:rPr>
                <w:snapToGrid/>
                <w:sz w:val="18"/>
                <w:szCs w:val="18"/>
                <w:lang w:val="fr-FR" w:eastAsia="fr-FR"/>
              </w:rPr>
              <w:t xml:space="preserve">désacralisation. </w:t>
            </w:r>
            <w:r w:rsidR="00270B08" w:rsidRPr="002C547A">
              <w:rPr>
                <w:snapToGrid/>
                <w:sz w:val="18"/>
                <w:szCs w:val="18"/>
                <w:lang w:val="fr-FR" w:eastAsia="fr-FR"/>
              </w:rPr>
              <w:t>Le « </w:t>
            </w:r>
            <w:proofErr w:type="spellStart"/>
            <w:r w:rsidR="00270B08" w:rsidRPr="002C547A">
              <w:rPr>
                <w:snapToGrid/>
                <w:sz w:val="18"/>
                <w:szCs w:val="18"/>
                <w:lang w:val="fr-FR" w:eastAsia="fr-FR"/>
              </w:rPr>
              <w:t>ndut</w:t>
            </w:r>
            <w:proofErr w:type="spellEnd"/>
            <w:r w:rsidR="00270B08" w:rsidRPr="002C547A">
              <w:rPr>
                <w:snapToGrid/>
                <w:sz w:val="18"/>
                <w:szCs w:val="18"/>
                <w:lang w:val="fr-FR" w:eastAsia="fr-FR"/>
              </w:rPr>
              <w:t xml:space="preserve"> ne », la circoncision </w:t>
            </w:r>
            <w:r w:rsidR="00FC5D5B" w:rsidRPr="002C547A">
              <w:rPr>
                <w:snapToGrid/>
                <w:sz w:val="18"/>
                <w:szCs w:val="18"/>
                <w:lang w:val="fr-FR" w:eastAsia="fr-FR"/>
              </w:rPr>
              <w:t xml:space="preserve">se </w:t>
            </w:r>
            <w:proofErr w:type="spellStart"/>
            <w:r w:rsidR="00FC5D5B" w:rsidRPr="002C547A">
              <w:rPr>
                <w:snapToGrid/>
                <w:sz w:val="18"/>
                <w:szCs w:val="18"/>
                <w:lang w:val="fr-FR" w:eastAsia="fr-FR"/>
              </w:rPr>
              <w:t>perpétueencore</w:t>
            </w:r>
            <w:proofErr w:type="spellEnd"/>
            <w:r w:rsidR="00270B08" w:rsidRPr="002C547A">
              <w:rPr>
                <w:snapToGrid/>
                <w:sz w:val="18"/>
                <w:szCs w:val="18"/>
                <w:lang w:val="fr-FR" w:eastAsia="fr-FR"/>
              </w:rPr>
              <w:t xml:space="preserve"> mais se modernise de plus en plus, dépourvu de tout le rituel </w:t>
            </w:r>
            <w:r w:rsidR="00584C29" w:rsidRPr="002C547A">
              <w:rPr>
                <w:snapToGrid/>
                <w:sz w:val="18"/>
                <w:szCs w:val="18"/>
                <w:lang w:val="fr-FR" w:eastAsia="fr-FR"/>
              </w:rPr>
              <w:t>qui l’</w:t>
            </w:r>
            <w:r w:rsidR="00CD1917" w:rsidRPr="002C547A">
              <w:rPr>
                <w:snapToGrid/>
                <w:sz w:val="18"/>
                <w:szCs w:val="18"/>
                <w:lang w:val="fr-FR" w:eastAsia="fr-FR"/>
              </w:rPr>
              <w:t>accompagnait</w:t>
            </w:r>
            <w:r w:rsidR="00FC5D5B" w:rsidRPr="002C547A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  <w:p w:rsidR="00FC5D5B" w:rsidRPr="00C63D70" w:rsidRDefault="00FC5D5B" w:rsidP="00C63D70">
            <w:pPr>
              <w:spacing w:before="0" w:after="0" w:line="276" w:lineRule="auto"/>
              <w:ind w:left="113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C63D70">
            <w:pPr>
              <w:spacing w:before="0" w:after="0" w:line="276" w:lineRule="auto"/>
              <w:ind w:left="113" w:right="57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512CE7" w:rsidRPr="00C63D70" w:rsidRDefault="00512CE7" w:rsidP="00C63D70">
            <w:pPr>
              <w:spacing w:before="0" w:after="0" w:line="276" w:lineRule="auto"/>
              <w:ind w:left="113" w:right="57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2C547A" w:rsidRDefault="001A3214" w:rsidP="00512CE7">
            <w:pPr>
              <w:pStyle w:val="Paragraphedeliste"/>
              <w:numPr>
                <w:ilvl w:val="0"/>
                <w:numId w:val="26"/>
              </w:numPr>
              <w:spacing w:before="0" w:after="0" w:line="276" w:lineRule="auto"/>
              <w:ind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Les troupes de théâtre reprennent avec nostalgie les chants et danses du « </w:t>
            </w:r>
            <w:proofErr w:type="spellStart"/>
            <w:r w:rsidRPr="00512CE7">
              <w:rPr>
                <w:snapToGrid/>
                <w:sz w:val="18"/>
                <w:szCs w:val="18"/>
                <w:lang w:val="fr-FR" w:eastAsia="fr-FR"/>
              </w:rPr>
              <w:t>ngoomaar</w:t>
            </w:r>
            <w:proofErr w:type="spellEnd"/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 », non sans </w:t>
            </w:r>
          </w:p>
          <w:p w:rsidR="00CD1917" w:rsidRPr="002C547A" w:rsidRDefault="001A3214" w:rsidP="002C547A">
            <w:pPr>
              <w:spacing w:before="0" w:after="0" w:line="276" w:lineRule="auto"/>
              <w:ind w:left="47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2C547A">
              <w:rPr>
                <w:snapToGrid/>
                <w:sz w:val="18"/>
                <w:szCs w:val="18"/>
                <w:lang w:val="fr-FR" w:eastAsia="fr-FR"/>
              </w:rPr>
              <w:t>les profaner, pour les sauvegarder.</w:t>
            </w:r>
          </w:p>
          <w:p w:rsidR="00CD1917" w:rsidRPr="00C63D70" w:rsidRDefault="00CD1917" w:rsidP="00C63D70">
            <w:pPr>
              <w:spacing w:before="0" w:after="0" w:line="276" w:lineRule="auto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F2F2F2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642" w:type="dxa"/>
            <w:shd w:val="clear" w:color="auto" w:fill="F2F2F2"/>
          </w:tcPr>
          <w:p w:rsidR="00C92ED6" w:rsidRPr="00C63D70" w:rsidRDefault="00F25AE7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642" w:type="dxa"/>
            <w:shd w:val="clear" w:color="auto" w:fill="auto"/>
          </w:tcPr>
          <w:p w:rsidR="00C92ED6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</w:p>
          <w:p w:rsidR="00512CE7" w:rsidRPr="00C63D70" w:rsidRDefault="00512CE7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2C547A" w:rsidRDefault="002C5A11" w:rsidP="00512CE7">
            <w:pPr>
              <w:pStyle w:val="Paragraphedeliste"/>
              <w:numPr>
                <w:ilvl w:val="0"/>
                <w:numId w:val="26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 xml:space="preserve">La communauté a donné son consentement pour l’inventaire </w:t>
            </w:r>
            <w:r w:rsidR="002C547A">
              <w:rPr>
                <w:snapToGrid/>
                <w:sz w:val="18"/>
                <w:szCs w:val="18"/>
                <w:lang w:val="fr-FR" w:eastAsia="fr-FR"/>
              </w:rPr>
              <w:t xml:space="preserve">du </w:t>
            </w:r>
            <w:proofErr w:type="spellStart"/>
            <w:r w:rsidR="002C547A">
              <w:rPr>
                <w:snapToGrid/>
                <w:sz w:val="18"/>
                <w:szCs w:val="18"/>
                <w:lang w:val="fr-FR" w:eastAsia="fr-FR"/>
              </w:rPr>
              <w:t>Ngomaar</w:t>
            </w:r>
            <w:proofErr w:type="spellEnd"/>
            <w:r w:rsidR="002C547A">
              <w:rPr>
                <w:snapToGrid/>
                <w:sz w:val="18"/>
                <w:szCs w:val="18"/>
                <w:lang w:val="fr-FR" w:eastAsia="fr-FR"/>
              </w:rPr>
              <w:t>, qu’elle a elle-même</w:t>
            </w:r>
          </w:p>
          <w:p w:rsidR="002C5A11" w:rsidRPr="002C547A" w:rsidRDefault="002C5A11" w:rsidP="002C547A">
            <w:pPr>
              <w:spacing w:before="0" w:after="0" w:line="276" w:lineRule="auto"/>
              <w:ind w:left="47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2C547A">
              <w:rPr>
                <w:snapToGrid/>
                <w:sz w:val="18"/>
                <w:szCs w:val="18"/>
                <w:lang w:val="fr-FR" w:eastAsia="fr-FR"/>
              </w:rPr>
              <w:t>proposé</w:t>
            </w:r>
            <w:r w:rsidR="00737555" w:rsidRPr="002C547A">
              <w:rPr>
                <w:snapToGrid/>
                <w:sz w:val="18"/>
                <w:szCs w:val="18"/>
                <w:lang w:val="fr-FR" w:eastAsia="fr-FR"/>
              </w:rPr>
              <w:t>, lors d’une première rencontre où le projet d’inventaire du PCI leur a été présenté par la cellule opérationnelle</w:t>
            </w:r>
            <w:r w:rsidR="008A27D9" w:rsidRPr="002C547A">
              <w:rPr>
                <w:snapToGrid/>
                <w:sz w:val="18"/>
                <w:szCs w:val="18"/>
                <w:lang w:val="fr-FR" w:eastAsia="fr-FR"/>
              </w:rPr>
              <w:t xml:space="preserve">, le 03 Mai 2019 à </w:t>
            </w:r>
            <w:proofErr w:type="spellStart"/>
            <w:r w:rsidR="008A27D9" w:rsidRPr="002C547A">
              <w:rPr>
                <w:snapToGrid/>
                <w:sz w:val="18"/>
                <w:szCs w:val="18"/>
                <w:lang w:val="fr-FR" w:eastAsia="fr-FR"/>
              </w:rPr>
              <w:t>Bambey</w:t>
            </w:r>
            <w:proofErr w:type="spellEnd"/>
            <w:r w:rsidR="008A27D9" w:rsidRPr="002C547A">
              <w:rPr>
                <w:snapToGrid/>
                <w:sz w:val="18"/>
                <w:szCs w:val="18"/>
                <w:lang w:val="fr-FR" w:eastAsia="fr-FR"/>
              </w:rPr>
              <w:t xml:space="preserve"> sérère</w:t>
            </w:r>
            <w:r w:rsidR="00737555" w:rsidRPr="002C547A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  <w:p w:rsidR="00737555" w:rsidRPr="00C63D70" w:rsidRDefault="00737555" w:rsidP="00C63D70">
            <w:pPr>
              <w:spacing w:before="0" w:after="0" w:line="276" w:lineRule="auto"/>
              <w:ind w:left="113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642" w:type="dxa"/>
            <w:shd w:val="clear" w:color="auto" w:fill="auto"/>
          </w:tcPr>
          <w:p w:rsidR="00737555" w:rsidRPr="002A6C4B" w:rsidRDefault="00C92ED6" w:rsidP="002A6C4B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  <w:p w:rsidR="00416435" w:rsidRPr="00D2474A" w:rsidRDefault="00416435" w:rsidP="00512CE7">
            <w:pPr>
              <w:pStyle w:val="Paragraphedeliste"/>
              <w:numPr>
                <w:ilvl w:val="0"/>
                <w:numId w:val="26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D2474A">
              <w:rPr>
                <w:snapToGrid/>
                <w:sz w:val="18"/>
                <w:szCs w:val="18"/>
                <w:lang w:val="fr-FR" w:eastAsia="fr-FR"/>
              </w:rPr>
              <w:t>La communauté a donné son accord pour l’inventaire et les activités de valorisation qui en découleront sous différentes formes : catalogue de photographies, expositions ethno-scientifiques, documentaire en film, archives publiques.</w:t>
            </w:r>
          </w:p>
          <w:p w:rsidR="00737555" w:rsidRPr="00C63D70" w:rsidRDefault="00737555" w:rsidP="00C63D70">
            <w:pPr>
              <w:spacing w:before="0" w:after="0" w:line="276" w:lineRule="auto"/>
              <w:ind w:left="113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 xml:space="preserve">Personne(s) ressource(s) : nom et statut </w:t>
            </w:r>
          </w:p>
          <w:p w:rsidR="008A27D9" w:rsidRPr="00C63D70" w:rsidRDefault="00737555" w:rsidP="00C63D70">
            <w:pPr>
              <w:pStyle w:val="Paragraphedeliste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proofErr w:type="spellStart"/>
            <w:r w:rsidRPr="00C63D70">
              <w:rPr>
                <w:snapToGrid/>
                <w:sz w:val="18"/>
                <w:szCs w:val="18"/>
                <w:lang w:val="fr-FR" w:eastAsia="fr-FR"/>
              </w:rPr>
              <w:t>Déthié</w:t>
            </w:r>
            <w:proofErr w:type="spellEnd"/>
            <w:r w:rsidRPr="00C63D70">
              <w:rPr>
                <w:snapToGrid/>
                <w:sz w:val="18"/>
                <w:szCs w:val="18"/>
                <w:lang w:val="fr-FR" w:eastAsia="fr-FR"/>
              </w:rPr>
              <w:t xml:space="preserve"> DIOP, notable</w:t>
            </w:r>
            <w:r w:rsidR="008A27D9" w:rsidRPr="00C63D70">
              <w:rPr>
                <w:snapToGrid/>
                <w:sz w:val="18"/>
                <w:szCs w:val="18"/>
                <w:lang w:val="fr-FR" w:eastAsia="fr-FR"/>
              </w:rPr>
              <w:t>, Tel : 77 848 32 10</w:t>
            </w:r>
          </w:p>
          <w:p w:rsidR="00737555" w:rsidRPr="00C63D70" w:rsidRDefault="00737555" w:rsidP="00C63D70">
            <w:pPr>
              <w:pStyle w:val="Paragraphedeliste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snapToGrid/>
                <w:sz w:val="18"/>
                <w:szCs w:val="18"/>
                <w:lang w:val="fr-FR" w:eastAsia="fr-FR"/>
              </w:rPr>
              <w:t>Ibrahima NDIAYE, chef du village</w:t>
            </w:r>
            <w:r w:rsidR="008A27D9" w:rsidRPr="00C63D70">
              <w:rPr>
                <w:snapToGrid/>
                <w:sz w:val="18"/>
                <w:szCs w:val="18"/>
                <w:lang w:val="fr-FR" w:eastAsia="fr-FR"/>
              </w:rPr>
              <w:t xml:space="preserve"> / </w:t>
            </w:r>
            <w:proofErr w:type="spellStart"/>
            <w:r w:rsidR="008A27D9" w:rsidRPr="00C63D70">
              <w:rPr>
                <w:snapToGrid/>
                <w:sz w:val="18"/>
                <w:szCs w:val="18"/>
                <w:lang w:val="fr-FR" w:eastAsia="fr-FR"/>
              </w:rPr>
              <w:t>Jaraaf</w:t>
            </w:r>
            <w:proofErr w:type="spellEnd"/>
          </w:p>
          <w:p w:rsidR="008A27D9" w:rsidRPr="00C63D70" w:rsidRDefault="008A27D9" w:rsidP="00C63D70">
            <w:pPr>
              <w:pStyle w:val="Paragraphedeliste"/>
              <w:spacing w:before="0" w:after="0" w:line="276" w:lineRule="auto"/>
              <w:ind w:left="473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snapToGrid/>
                <w:sz w:val="18"/>
                <w:szCs w:val="18"/>
                <w:lang w:val="fr-FR" w:eastAsia="fr-FR"/>
              </w:rPr>
              <w:t>Tél : 77 985 10 25</w:t>
            </w:r>
          </w:p>
          <w:p w:rsidR="00737555" w:rsidRPr="00C63D70" w:rsidRDefault="00737555" w:rsidP="00C63D70">
            <w:pPr>
              <w:pStyle w:val="Paragraphedeliste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proofErr w:type="spellStart"/>
            <w:r w:rsidRPr="00C63D70">
              <w:rPr>
                <w:snapToGrid/>
                <w:sz w:val="18"/>
                <w:szCs w:val="18"/>
                <w:lang w:val="fr-FR" w:eastAsia="fr-FR"/>
              </w:rPr>
              <w:t>Gayti</w:t>
            </w:r>
            <w:proofErr w:type="spellEnd"/>
            <w:r w:rsidRPr="00C63D70">
              <w:rPr>
                <w:snapToGrid/>
                <w:sz w:val="18"/>
                <w:szCs w:val="18"/>
                <w:lang w:val="fr-FR" w:eastAsia="fr-FR"/>
              </w:rPr>
              <w:t xml:space="preserve"> NDIAYE, grand </w:t>
            </w:r>
            <w:proofErr w:type="spellStart"/>
            <w:r w:rsidRPr="00C63D70">
              <w:rPr>
                <w:snapToGrid/>
                <w:sz w:val="18"/>
                <w:szCs w:val="18"/>
                <w:lang w:val="fr-FR" w:eastAsia="fr-FR"/>
              </w:rPr>
              <w:t>saltigué</w:t>
            </w:r>
            <w:proofErr w:type="spellEnd"/>
          </w:p>
          <w:p w:rsidR="008A27D9" w:rsidRPr="00C63D70" w:rsidRDefault="008A27D9" w:rsidP="00C63D70">
            <w:pPr>
              <w:pStyle w:val="Paragraphedeliste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proofErr w:type="spellStart"/>
            <w:r w:rsidRPr="00C63D70">
              <w:rPr>
                <w:snapToGrid/>
                <w:sz w:val="18"/>
                <w:szCs w:val="18"/>
                <w:lang w:val="fr-FR" w:eastAsia="fr-FR"/>
              </w:rPr>
              <w:t>Diegane</w:t>
            </w:r>
            <w:proofErr w:type="spellEnd"/>
            <w:r w:rsidRPr="00C63D70">
              <w:rPr>
                <w:snapToGrid/>
                <w:sz w:val="18"/>
                <w:szCs w:val="18"/>
                <w:lang w:val="fr-FR" w:eastAsia="fr-FR"/>
              </w:rPr>
              <w:t xml:space="preserve"> NDIAYE, notable</w:t>
            </w:r>
          </w:p>
          <w:p w:rsidR="00737555" w:rsidRPr="00C63D70" w:rsidRDefault="00737555" w:rsidP="00C63D70">
            <w:pPr>
              <w:pStyle w:val="Paragraphedeliste"/>
              <w:spacing w:before="0" w:after="0" w:line="276" w:lineRule="auto"/>
              <w:ind w:left="473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</w:p>
          <w:p w:rsidR="00512CE7" w:rsidRPr="00C63D70" w:rsidRDefault="00512CE7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2C547A" w:rsidRDefault="008A27D9" w:rsidP="00512CE7">
            <w:pPr>
              <w:pStyle w:val="Paragraphedeliste"/>
              <w:numPr>
                <w:ilvl w:val="0"/>
                <w:numId w:val="26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12CE7">
              <w:rPr>
                <w:snapToGrid/>
                <w:sz w:val="18"/>
                <w:szCs w:val="18"/>
                <w:lang w:val="fr-FR" w:eastAsia="fr-FR"/>
              </w:rPr>
              <w:t>Les données de cette fiche ont été recueillies le 07 Mai 2019, à la place publique</w:t>
            </w:r>
            <w:r w:rsidR="002C547A">
              <w:rPr>
                <w:snapToGrid/>
                <w:sz w:val="18"/>
                <w:szCs w:val="18"/>
                <w:lang w:val="fr-FR" w:eastAsia="fr-FR"/>
              </w:rPr>
              <w:t xml:space="preserve"> de </w:t>
            </w:r>
            <w:proofErr w:type="spellStart"/>
            <w:r w:rsidR="002C547A">
              <w:rPr>
                <w:snapToGrid/>
                <w:sz w:val="18"/>
                <w:szCs w:val="18"/>
                <w:lang w:val="fr-FR" w:eastAsia="fr-FR"/>
              </w:rPr>
              <w:t>Bambey</w:t>
            </w:r>
            <w:proofErr w:type="spellEnd"/>
          </w:p>
          <w:p w:rsidR="008A27D9" w:rsidRPr="002C547A" w:rsidRDefault="00EE318E" w:rsidP="002C547A">
            <w:pPr>
              <w:spacing w:before="0" w:after="0" w:line="276" w:lineRule="auto"/>
              <w:ind w:left="47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2C547A">
              <w:rPr>
                <w:snapToGrid/>
                <w:sz w:val="18"/>
                <w:szCs w:val="18"/>
                <w:lang w:val="fr-FR" w:eastAsia="fr-FR"/>
              </w:rPr>
              <w:t>Sérère, en présence des notables et des femmes de la communauté.</w:t>
            </w:r>
          </w:p>
          <w:p w:rsidR="008A27D9" w:rsidRPr="00C63D70" w:rsidRDefault="008A27D9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F2F2F2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lastRenderedPageBreak/>
              <w:t>5.</w:t>
            </w:r>
          </w:p>
        </w:tc>
        <w:tc>
          <w:tcPr>
            <w:tcW w:w="8642" w:type="dxa"/>
            <w:shd w:val="clear" w:color="auto" w:fill="F2F2F2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172A30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Monographies / Manuscrits</w:t>
            </w:r>
            <w:r w:rsidR="00A16589" w:rsidRPr="00C63D70">
              <w:rPr>
                <w:b/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  <w:p w:rsidR="00EE318E" w:rsidRPr="00C63D70" w:rsidRDefault="00EE318E" w:rsidP="00C63D70">
            <w:pPr>
              <w:spacing w:before="0" w:after="0" w:line="276" w:lineRule="auto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A16589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Enregistrements</w:t>
            </w:r>
            <w:r w:rsidR="00C92ED6" w:rsidRPr="00C63D70">
              <w:rPr>
                <w:b/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s</w:t>
            </w:r>
            <w:r w:rsidR="00C92ED6" w:rsidRPr="00C63D70">
              <w:rPr>
                <w:b/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</w:p>
          <w:p w:rsidR="00EE318E" w:rsidRPr="00C63D70" w:rsidRDefault="00EE318E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A16589" w:rsidP="00C63D70">
            <w:pPr>
              <w:spacing w:before="0" w:after="0" w:line="276" w:lineRule="auto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 xml:space="preserve"> O</w:t>
            </w:r>
            <w:r w:rsidR="00C92ED6" w:rsidRPr="00C63D70">
              <w:rPr>
                <w:b/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</w:p>
          <w:p w:rsidR="00500947" w:rsidRPr="00C63D70" w:rsidRDefault="00500947" w:rsidP="00C63D70">
            <w:pPr>
              <w:spacing w:before="0" w:after="0" w:line="276" w:lineRule="auto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F2F2F2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642" w:type="dxa"/>
            <w:shd w:val="clear" w:color="auto" w:fill="F2F2F2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</w:pPr>
            <w:r w:rsidRPr="00C63D70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  <w:p w:rsidR="00500947" w:rsidRPr="00C63D70" w:rsidRDefault="00500947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 xml:space="preserve">Nom </w:t>
            </w:r>
            <w:r w:rsidR="00F355F4" w:rsidRPr="00C63D70">
              <w:rPr>
                <w:b/>
                <w:snapToGrid/>
                <w:sz w:val="18"/>
                <w:szCs w:val="18"/>
                <w:lang w:val="fr-FR" w:eastAsia="fr-FR"/>
              </w:rPr>
              <w:t xml:space="preserve">et contacts </w:t>
            </w: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de la pe</w:t>
            </w:r>
            <w:r w:rsidR="00172A30" w:rsidRPr="00C63D70">
              <w:rPr>
                <w:b/>
                <w:snapToGrid/>
                <w:sz w:val="18"/>
                <w:szCs w:val="18"/>
                <w:lang w:val="fr-FR" w:eastAsia="fr-FR"/>
              </w:rPr>
              <w:t>rsonne(s) ayant compilé les données</w:t>
            </w: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 xml:space="preserve"> de l’inventaire</w:t>
            </w:r>
          </w:p>
          <w:p w:rsidR="00500947" w:rsidRPr="00C63D70" w:rsidRDefault="00500947" w:rsidP="00C63D70">
            <w:pPr>
              <w:pStyle w:val="Paragraphedeliste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snapToGrid/>
                <w:sz w:val="18"/>
                <w:szCs w:val="18"/>
                <w:lang w:val="fr-FR" w:eastAsia="fr-FR"/>
              </w:rPr>
              <w:t xml:space="preserve">Mme </w:t>
            </w:r>
            <w:proofErr w:type="spellStart"/>
            <w:r w:rsidRPr="00C63D70">
              <w:rPr>
                <w:snapToGrid/>
                <w:sz w:val="18"/>
                <w:szCs w:val="18"/>
                <w:lang w:val="fr-FR" w:eastAsia="fr-FR"/>
              </w:rPr>
              <w:t>SiraOurndou</w:t>
            </w:r>
            <w:proofErr w:type="spellEnd"/>
            <w:r w:rsidRPr="00C63D70">
              <w:rPr>
                <w:snapToGrid/>
                <w:sz w:val="18"/>
                <w:szCs w:val="18"/>
                <w:lang w:val="fr-FR" w:eastAsia="fr-FR"/>
              </w:rPr>
              <w:t xml:space="preserve"> BA, directrice CCR de Diourbel</w:t>
            </w:r>
          </w:p>
          <w:p w:rsidR="00500947" w:rsidRPr="00C63D70" w:rsidRDefault="00500947" w:rsidP="00C63D70">
            <w:pPr>
              <w:pStyle w:val="Paragraphedeliste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proofErr w:type="spellStart"/>
            <w:r w:rsidRPr="00C63D70">
              <w:rPr>
                <w:snapToGrid/>
                <w:sz w:val="18"/>
                <w:szCs w:val="18"/>
                <w:lang w:val="fr-FR" w:eastAsia="fr-FR"/>
              </w:rPr>
              <w:t>Alé</w:t>
            </w:r>
            <w:proofErr w:type="spellEnd"/>
            <w:r w:rsidRPr="00C63D70">
              <w:rPr>
                <w:snapToGrid/>
                <w:sz w:val="18"/>
                <w:szCs w:val="18"/>
                <w:lang w:val="fr-FR" w:eastAsia="fr-FR"/>
              </w:rPr>
              <w:t xml:space="preserve"> Niang</w:t>
            </w:r>
          </w:p>
          <w:p w:rsidR="00500947" w:rsidRPr="00C63D70" w:rsidRDefault="00500947" w:rsidP="00C63D70">
            <w:pPr>
              <w:pStyle w:val="Paragraphedeliste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proofErr w:type="spellStart"/>
            <w:r w:rsidRPr="00C63D70">
              <w:rPr>
                <w:snapToGrid/>
                <w:sz w:val="18"/>
                <w:szCs w:val="18"/>
                <w:lang w:val="fr-FR" w:eastAsia="fr-FR"/>
              </w:rPr>
              <w:t>Ndiap</w:t>
            </w:r>
            <w:proofErr w:type="spellEnd"/>
            <w:r w:rsidRPr="00C63D70">
              <w:rPr>
                <w:snapToGrid/>
                <w:sz w:val="18"/>
                <w:szCs w:val="18"/>
                <w:lang w:val="fr-FR" w:eastAsia="fr-FR"/>
              </w:rPr>
              <w:t xml:space="preserve"> SENE</w:t>
            </w:r>
          </w:p>
          <w:p w:rsidR="00542BBE" w:rsidRPr="002A6C4B" w:rsidRDefault="001A3214" w:rsidP="002A6C4B">
            <w:pPr>
              <w:pStyle w:val="Paragraphedeliste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snapToGrid/>
                <w:sz w:val="18"/>
                <w:szCs w:val="18"/>
                <w:lang w:val="fr-FR" w:eastAsia="fr-FR"/>
              </w:rPr>
              <w:t>Cheikh Faye, téléphone 77  929 72 08</w:t>
            </w:r>
          </w:p>
          <w:p w:rsidR="00500947" w:rsidRPr="00C63D70" w:rsidRDefault="00500947" w:rsidP="00C63D70">
            <w:pPr>
              <w:spacing w:before="0" w:after="0" w:line="276" w:lineRule="auto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642" w:type="dxa"/>
            <w:shd w:val="clear" w:color="auto" w:fill="auto"/>
          </w:tcPr>
          <w:p w:rsidR="00C92ED6" w:rsidRDefault="00C92ED6" w:rsidP="00C63D70">
            <w:pPr>
              <w:spacing w:before="0" w:after="0" w:line="276" w:lineRule="auto"/>
              <w:ind w:left="113" w:right="57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E15732">
              <w:rPr>
                <w:b/>
                <w:snapToGrid/>
                <w:sz w:val="18"/>
                <w:szCs w:val="18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512CE7" w:rsidRPr="00E15732" w:rsidRDefault="00512CE7" w:rsidP="00C63D70">
            <w:pPr>
              <w:spacing w:before="0" w:after="0" w:line="276" w:lineRule="auto"/>
              <w:ind w:left="113" w:right="57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500947" w:rsidRPr="00D2474A" w:rsidRDefault="00500947" w:rsidP="00512CE7">
            <w:pPr>
              <w:pStyle w:val="Paragraphedeliste"/>
              <w:numPr>
                <w:ilvl w:val="0"/>
                <w:numId w:val="26"/>
              </w:numPr>
              <w:spacing w:before="0" w:after="0" w:line="276" w:lineRule="auto"/>
              <w:ind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D2474A">
              <w:rPr>
                <w:snapToGrid/>
                <w:sz w:val="18"/>
                <w:szCs w:val="18"/>
                <w:lang w:val="fr-FR" w:eastAsia="fr-FR"/>
              </w:rPr>
              <w:t>Preuve sonore (</w:t>
            </w:r>
            <w:proofErr w:type="spellStart"/>
            <w:r w:rsidRPr="00D2474A">
              <w:rPr>
                <w:snapToGrid/>
                <w:sz w:val="18"/>
                <w:szCs w:val="18"/>
                <w:lang w:val="fr-FR" w:eastAsia="fr-FR"/>
              </w:rPr>
              <w:t>cf</w:t>
            </w:r>
            <w:proofErr w:type="spellEnd"/>
            <w:r w:rsidRPr="00D2474A">
              <w:rPr>
                <w:snapToGrid/>
                <w:sz w:val="18"/>
                <w:szCs w:val="18"/>
                <w:lang w:val="fr-FR" w:eastAsia="fr-FR"/>
              </w:rPr>
              <w:t xml:space="preserve"> audio)</w:t>
            </w:r>
            <w:r w:rsidR="00512CE7" w:rsidRPr="00D2474A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  <w:p w:rsidR="00512CE7" w:rsidRPr="00D2474A" w:rsidRDefault="00512CE7" w:rsidP="00D2474A">
            <w:pPr>
              <w:spacing w:before="0" w:after="0" w:line="276" w:lineRule="auto"/>
              <w:ind w:left="47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D2474A">
              <w:rPr>
                <w:snapToGrid/>
                <w:sz w:val="18"/>
                <w:szCs w:val="18"/>
                <w:lang w:val="fr-FR" w:eastAsia="fr-FR"/>
              </w:rPr>
              <w:t>Le consentement de la communauté est recueilli par enregistr</w:t>
            </w:r>
            <w:r w:rsidR="00D2474A">
              <w:rPr>
                <w:snapToGrid/>
                <w:sz w:val="18"/>
                <w:szCs w:val="18"/>
                <w:lang w:val="fr-FR" w:eastAsia="fr-FR"/>
              </w:rPr>
              <w:t>ement audio. Il a été donné par le doyen</w:t>
            </w:r>
            <w:r w:rsidRPr="00D2474A">
              <w:rPr>
                <w:snapToGrid/>
                <w:sz w:val="18"/>
                <w:szCs w:val="18"/>
                <w:lang w:val="fr-FR" w:eastAsia="fr-FR"/>
              </w:rPr>
              <w:t xml:space="preserve"> de la communauté, après sensibilisation faite et concertation réalisée entre les dépositaires de l’élément, par </w:t>
            </w:r>
            <w:r w:rsidR="00D2474A">
              <w:rPr>
                <w:snapToGrid/>
                <w:sz w:val="18"/>
                <w:szCs w:val="18"/>
                <w:lang w:val="fr-FR" w:eastAsia="fr-FR"/>
              </w:rPr>
              <w:t xml:space="preserve">M. </w:t>
            </w:r>
            <w:proofErr w:type="spellStart"/>
            <w:r w:rsidR="00D2474A">
              <w:rPr>
                <w:snapToGrid/>
                <w:sz w:val="18"/>
                <w:szCs w:val="18"/>
                <w:lang w:val="fr-FR" w:eastAsia="fr-FR"/>
              </w:rPr>
              <w:t>Déthié</w:t>
            </w:r>
            <w:proofErr w:type="spellEnd"/>
            <w:r w:rsidR="00D2474A">
              <w:rPr>
                <w:snapToGrid/>
                <w:sz w:val="18"/>
                <w:szCs w:val="18"/>
                <w:lang w:val="fr-FR" w:eastAsia="fr-FR"/>
              </w:rPr>
              <w:t xml:space="preserve"> DIOP</w:t>
            </w:r>
            <w:r w:rsidR="002C547A" w:rsidRPr="00D2474A">
              <w:rPr>
                <w:snapToGrid/>
                <w:sz w:val="18"/>
                <w:szCs w:val="18"/>
                <w:lang w:val="fr-FR" w:eastAsia="fr-FR"/>
              </w:rPr>
              <w:t>.  Son propos a été confirmé par d’autres notables dont les témoignages sont aussi consignés dans les enregistrements.</w:t>
            </w:r>
          </w:p>
          <w:p w:rsidR="00500947" w:rsidRPr="00C63D70" w:rsidRDefault="00500947" w:rsidP="00C63D70">
            <w:pPr>
              <w:spacing w:before="0" w:after="0" w:line="276" w:lineRule="auto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63D70" w:rsidTr="00512CE7">
        <w:tc>
          <w:tcPr>
            <w:tcW w:w="567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642" w:type="dxa"/>
            <w:shd w:val="clear" w:color="auto" w:fill="auto"/>
          </w:tcPr>
          <w:p w:rsidR="00C92ED6" w:rsidRPr="00C63D70" w:rsidRDefault="00C92ED6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C63D70">
              <w:rPr>
                <w:b/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  <w:p w:rsidR="00500947" w:rsidRPr="00C63D70" w:rsidRDefault="00500947" w:rsidP="00C63D70">
            <w:pPr>
              <w:spacing w:before="0" w:after="0" w:line="276" w:lineRule="auto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500947" w:rsidRPr="002A6C4B" w:rsidRDefault="00500947" w:rsidP="00C63D70">
            <w:pPr>
              <w:spacing w:before="0" w:after="0" w:line="276" w:lineRule="auto"/>
              <w:ind w:left="113"/>
              <w:jc w:val="left"/>
              <w:rPr>
                <w:snapToGrid/>
                <w:szCs w:val="18"/>
                <w:lang w:val="fr-FR" w:eastAsia="fr-FR"/>
              </w:rPr>
            </w:pPr>
            <w:r w:rsidRPr="002A6C4B">
              <w:rPr>
                <w:snapToGrid/>
                <w:szCs w:val="18"/>
                <w:lang w:val="fr-FR" w:eastAsia="fr-FR"/>
              </w:rPr>
              <w:t>Le 07 Mai 2019</w:t>
            </w:r>
            <w:r w:rsidR="002A6C4B" w:rsidRPr="002A6C4B">
              <w:rPr>
                <w:snapToGrid/>
                <w:szCs w:val="18"/>
                <w:lang w:val="fr-FR" w:eastAsia="fr-FR"/>
              </w:rPr>
              <w:t xml:space="preserve"> à </w:t>
            </w:r>
            <w:r w:rsidR="00121D2B">
              <w:rPr>
                <w:snapToGrid/>
                <w:szCs w:val="18"/>
                <w:lang w:val="fr-FR" w:eastAsia="fr-FR"/>
              </w:rPr>
              <w:t xml:space="preserve"> Diourbel</w:t>
            </w:r>
            <w:r w:rsidR="00512CE7" w:rsidRPr="002A6C4B">
              <w:rPr>
                <w:snapToGrid/>
                <w:szCs w:val="18"/>
                <w:lang w:val="fr-FR" w:eastAsia="fr-FR"/>
              </w:rPr>
              <w:t>.</w:t>
            </w:r>
          </w:p>
          <w:p w:rsidR="00500947" w:rsidRPr="00C63D70" w:rsidRDefault="00500947" w:rsidP="00C63D70">
            <w:pPr>
              <w:spacing w:before="0" w:after="0" w:line="276" w:lineRule="auto"/>
              <w:ind w:left="113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</w:tbl>
    <w:p w:rsidR="0043665E" w:rsidRPr="00C63D70" w:rsidRDefault="0043665E" w:rsidP="00C63D70">
      <w:pPr>
        <w:pStyle w:val="Texte1"/>
        <w:spacing w:after="0" w:line="276" w:lineRule="auto"/>
      </w:pPr>
    </w:p>
    <w:sectPr w:rsidR="0043665E" w:rsidRPr="00C63D70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15" w:rsidRDefault="007F7815" w:rsidP="0043665E">
      <w:pPr>
        <w:spacing w:before="0" w:after="0"/>
      </w:pPr>
      <w:r>
        <w:separator/>
      </w:r>
    </w:p>
  </w:endnote>
  <w:endnote w:type="continuationSeparator" w:id="0">
    <w:p w:rsidR="007F7815" w:rsidRDefault="007F7815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15" w:rsidRDefault="007F7815" w:rsidP="0043665E">
      <w:pPr>
        <w:spacing w:before="0" w:after="0"/>
      </w:pPr>
      <w:r>
        <w:separator/>
      </w:r>
    </w:p>
  </w:footnote>
  <w:footnote w:type="continuationSeparator" w:id="0">
    <w:p w:rsidR="007F7815" w:rsidRDefault="007F7815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D940F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D940F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852D50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="00D940F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D940F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D940F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852D50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="00D940F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E1BD3"/>
    <w:multiLevelType w:val="hybridMultilevel"/>
    <w:tmpl w:val="EF3A39D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CEB2113"/>
    <w:multiLevelType w:val="hybridMultilevel"/>
    <w:tmpl w:val="FCC6E852"/>
    <w:lvl w:ilvl="0" w:tplc="8E1EB130">
      <w:start w:val="2"/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520D"/>
    <w:multiLevelType w:val="hybridMultilevel"/>
    <w:tmpl w:val="0FB4D828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83078A4"/>
    <w:multiLevelType w:val="hybridMultilevel"/>
    <w:tmpl w:val="95F4384A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4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C217E"/>
    <w:multiLevelType w:val="hybridMultilevel"/>
    <w:tmpl w:val="A9A00512"/>
    <w:lvl w:ilvl="0" w:tplc="92FEBA0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2"/>
  </w:num>
  <w:num w:numId="6">
    <w:abstractNumId w:val="6"/>
  </w:num>
  <w:num w:numId="7">
    <w:abstractNumId w:val="22"/>
  </w:num>
  <w:num w:numId="8">
    <w:abstractNumId w:val="14"/>
  </w:num>
  <w:num w:numId="9">
    <w:abstractNumId w:val="17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3"/>
  </w:num>
  <w:num w:numId="18">
    <w:abstractNumId w:val="26"/>
  </w:num>
  <w:num w:numId="19">
    <w:abstractNumId w:val="7"/>
  </w:num>
  <w:num w:numId="20">
    <w:abstractNumId w:val="20"/>
  </w:num>
  <w:num w:numId="21">
    <w:abstractNumId w:val="21"/>
  </w:num>
  <w:num w:numId="22">
    <w:abstractNumId w:val="4"/>
  </w:num>
  <w:num w:numId="23">
    <w:abstractNumId w:val="24"/>
  </w:num>
  <w:num w:numId="24">
    <w:abstractNumId w:val="16"/>
  </w:num>
  <w:num w:numId="25">
    <w:abstractNumId w:val="25"/>
  </w:num>
  <w:num w:numId="26">
    <w:abstractNumId w:val="19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014F4"/>
    <w:rsid w:val="000161F3"/>
    <w:rsid w:val="0002349D"/>
    <w:rsid w:val="000769D3"/>
    <w:rsid w:val="0009522F"/>
    <w:rsid w:val="00095BD1"/>
    <w:rsid w:val="000A1075"/>
    <w:rsid w:val="000A78B1"/>
    <w:rsid w:val="000C0E0B"/>
    <w:rsid w:val="000D509E"/>
    <w:rsid w:val="000E5A83"/>
    <w:rsid w:val="000F251E"/>
    <w:rsid w:val="000F3FE0"/>
    <w:rsid w:val="00115BB9"/>
    <w:rsid w:val="00121D2B"/>
    <w:rsid w:val="00161B8C"/>
    <w:rsid w:val="00172A30"/>
    <w:rsid w:val="00182DE5"/>
    <w:rsid w:val="00184690"/>
    <w:rsid w:val="0018514E"/>
    <w:rsid w:val="001A3214"/>
    <w:rsid w:val="001A6A29"/>
    <w:rsid w:val="001C2480"/>
    <w:rsid w:val="001C42A0"/>
    <w:rsid w:val="001D656E"/>
    <w:rsid w:val="00227C97"/>
    <w:rsid w:val="0026188F"/>
    <w:rsid w:val="002620F2"/>
    <w:rsid w:val="00270B08"/>
    <w:rsid w:val="00274022"/>
    <w:rsid w:val="00284583"/>
    <w:rsid w:val="002A31D7"/>
    <w:rsid w:val="002A6C4B"/>
    <w:rsid w:val="002C547A"/>
    <w:rsid w:val="002C5A11"/>
    <w:rsid w:val="002D7F06"/>
    <w:rsid w:val="00320555"/>
    <w:rsid w:val="0032227D"/>
    <w:rsid w:val="003342CA"/>
    <w:rsid w:val="00342E35"/>
    <w:rsid w:val="003551E8"/>
    <w:rsid w:val="00392B71"/>
    <w:rsid w:val="003D4E15"/>
    <w:rsid w:val="003F298E"/>
    <w:rsid w:val="00405E99"/>
    <w:rsid w:val="00416435"/>
    <w:rsid w:val="00433604"/>
    <w:rsid w:val="0043665E"/>
    <w:rsid w:val="004448A2"/>
    <w:rsid w:val="00444929"/>
    <w:rsid w:val="00447324"/>
    <w:rsid w:val="00490480"/>
    <w:rsid w:val="00500947"/>
    <w:rsid w:val="00510796"/>
    <w:rsid w:val="00512CE7"/>
    <w:rsid w:val="00526711"/>
    <w:rsid w:val="005273C3"/>
    <w:rsid w:val="00527A29"/>
    <w:rsid w:val="00542BBE"/>
    <w:rsid w:val="005732C3"/>
    <w:rsid w:val="00584C29"/>
    <w:rsid w:val="005D395D"/>
    <w:rsid w:val="005E71DB"/>
    <w:rsid w:val="00601CEC"/>
    <w:rsid w:val="0060566B"/>
    <w:rsid w:val="00645C2F"/>
    <w:rsid w:val="00660044"/>
    <w:rsid w:val="00670B71"/>
    <w:rsid w:val="006942BD"/>
    <w:rsid w:val="006E7974"/>
    <w:rsid w:val="00722E11"/>
    <w:rsid w:val="007254B2"/>
    <w:rsid w:val="00737555"/>
    <w:rsid w:val="00744361"/>
    <w:rsid w:val="00774630"/>
    <w:rsid w:val="00782E2F"/>
    <w:rsid w:val="007D3D1C"/>
    <w:rsid w:val="007D66AD"/>
    <w:rsid w:val="007F7815"/>
    <w:rsid w:val="0081159B"/>
    <w:rsid w:val="008209DA"/>
    <w:rsid w:val="008360C8"/>
    <w:rsid w:val="00852D50"/>
    <w:rsid w:val="0086313E"/>
    <w:rsid w:val="00880E45"/>
    <w:rsid w:val="008A27D9"/>
    <w:rsid w:val="008D718D"/>
    <w:rsid w:val="00904171"/>
    <w:rsid w:val="00911E8B"/>
    <w:rsid w:val="009214EC"/>
    <w:rsid w:val="00936ED6"/>
    <w:rsid w:val="00972F71"/>
    <w:rsid w:val="0099595A"/>
    <w:rsid w:val="009B4E97"/>
    <w:rsid w:val="009D65BA"/>
    <w:rsid w:val="009E71C5"/>
    <w:rsid w:val="00A06BCB"/>
    <w:rsid w:val="00A16589"/>
    <w:rsid w:val="00A4453B"/>
    <w:rsid w:val="00A57FDF"/>
    <w:rsid w:val="00A81C8B"/>
    <w:rsid w:val="00AB2DE1"/>
    <w:rsid w:val="00AE6235"/>
    <w:rsid w:val="00B115FB"/>
    <w:rsid w:val="00B27663"/>
    <w:rsid w:val="00B34920"/>
    <w:rsid w:val="00B45F43"/>
    <w:rsid w:val="00B50B17"/>
    <w:rsid w:val="00B555C6"/>
    <w:rsid w:val="00B558AC"/>
    <w:rsid w:val="00B65ED8"/>
    <w:rsid w:val="00B66162"/>
    <w:rsid w:val="00BB1E1D"/>
    <w:rsid w:val="00BC1054"/>
    <w:rsid w:val="00BC79D7"/>
    <w:rsid w:val="00BF632A"/>
    <w:rsid w:val="00C13746"/>
    <w:rsid w:val="00C17481"/>
    <w:rsid w:val="00C203FD"/>
    <w:rsid w:val="00C35D03"/>
    <w:rsid w:val="00C63D70"/>
    <w:rsid w:val="00C72F51"/>
    <w:rsid w:val="00C878BD"/>
    <w:rsid w:val="00C92ED6"/>
    <w:rsid w:val="00CD1917"/>
    <w:rsid w:val="00CF1D6C"/>
    <w:rsid w:val="00D11FA6"/>
    <w:rsid w:val="00D2474A"/>
    <w:rsid w:val="00D25C9F"/>
    <w:rsid w:val="00D565C2"/>
    <w:rsid w:val="00D70239"/>
    <w:rsid w:val="00D84DD1"/>
    <w:rsid w:val="00D940F4"/>
    <w:rsid w:val="00DA2400"/>
    <w:rsid w:val="00DC6547"/>
    <w:rsid w:val="00DF3FDB"/>
    <w:rsid w:val="00E04F7C"/>
    <w:rsid w:val="00E15732"/>
    <w:rsid w:val="00E50BAB"/>
    <w:rsid w:val="00E676F9"/>
    <w:rsid w:val="00E948A2"/>
    <w:rsid w:val="00EA348C"/>
    <w:rsid w:val="00EC283F"/>
    <w:rsid w:val="00ED7DDD"/>
    <w:rsid w:val="00EE318E"/>
    <w:rsid w:val="00EE38CE"/>
    <w:rsid w:val="00F00123"/>
    <w:rsid w:val="00F06656"/>
    <w:rsid w:val="00F25AE7"/>
    <w:rsid w:val="00F355F4"/>
    <w:rsid w:val="00F4030E"/>
    <w:rsid w:val="00F408C4"/>
    <w:rsid w:val="00F57B4C"/>
    <w:rsid w:val="00F631BE"/>
    <w:rsid w:val="00F63FD5"/>
    <w:rsid w:val="00F912F9"/>
    <w:rsid w:val="00F91A77"/>
    <w:rsid w:val="00FC5D5B"/>
    <w:rsid w:val="00FD1944"/>
    <w:rsid w:val="00FD68C2"/>
    <w:rsid w:val="00FE67AD"/>
    <w:rsid w:val="00FF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474CBA-F532-46D2-9FBD-47731BD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0B83-BD5F-4AAD-A366-73D86347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dcterms:created xsi:type="dcterms:W3CDTF">2019-06-24T13:49:00Z</dcterms:created>
  <dcterms:modified xsi:type="dcterms:W3CDTF">2019-06-24T13:49:00Z</dcterms:modified>
</cp:coreProperties>
</file>