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7A" w:rsidRDefault="002C09D3" w:rsidP="002C09D3">
      <w:pPr>
        <w:pStyle w:val="Titre4"/>
        <w:jc w:val="center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Programme d’inventaire national du</w:t>
      </w:r>
      <w:r w:rsidR="0032377A"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 xml:space="preserve"> PCI</w:t>
      </w:r>
    </w:p>
    <w:p w:rsidR="0032377A" w:rsidRPr="00ED7DDD" w:rsidRDefault="0032377A" w:rsidP="0032377A">
      <w:pPr>
        <w:rPr>
          <w:color w:val="FF0000"/>
          <w:lang w:val="fr-FR"/>
        </w:rPr>
      </w:pPr>
    </w:p>
    <w:p w:rsidR="0032377A" w:rsidRPr="00ED7DDD" w:rsidRDefault="0032377A" w:rsidP="0032377A">
      <w:pPr>
        <w:rPr>
          <w:b/>
          <w:color w:val="FF0000"/>
          <w:lang w:val="fr-FR"/>
        </w:rPr>
      </w:pPr>
      <w:r w:rsidRPr="00ED7DDD">
        <w:rPr>
          <w:b/>
          <w:color w:val="FF0000"/>
          <w:lang w:val="fr-FR"/>
        </w:rPr>
        <w:t xml:space="preserve">REGION : </w:t>
      </w:r>
      <w:r w:rsidR="002C09D3">
        <w:rPr>
          <w:b/>
          <w:color w:val="FF0000"/>
          <w:lang w:val="fr-FR"/>
        </w:rPr>
        <w:t>Kolda</w:t>
      </w:r>
    </w:p>
    <w:p w:rsidR="0032377A" w:rsidRPr="00ED7DDD" w:rsidRDefault="0032377A" w:rsidP="0032377A">
      <w:pPr>
        <w:rPr>
          <w:b/>
          <w:color w:val="FF0000"/>
          <w:lang w:val="fr-FR"/>
        </w:rPr>
      </w:pPr>
    </w:p>
    <w:p w:rsidR="0032377A" w:rsidRPr="00ED7DDD" w:rsidRDefault="0032377A" w:rsidP="0032377A">
      <w:pPr>
        <w:tabs>
          <w:tab w:val="left" w:pos="6440"/>
        </w:tabs>
        <w:rPr>
          <w:b/>
          <w:color w:val="FF0000"/>
          <w:lang w:val="fr-FR"/>
        </w:rPr>
      </w:pPr>
      <w:r w:rsidRPr="00ED7DDD">
        <w:rPr>
          <w:b/>
          <w:color w:val="FF0000"/>
          <w:lang w:val="fr-FR"/>
        </w:rPr>
        <w:t>DEPARTEMENT :</w:t>
      </w:r>
      <w:r>
        <w:rPr>
          <w:b/>
          <w:color w:val="FF0000"/>
          <w:lang w:val="fr-FR"/>
        </w:rPr>
        <w:t xml:space="preserve"> </w:t>
      </w:r>
      <w:r w:rsidR="00220C59">
        <w:rPr>
          <w:b/>
          <w:color w:val="FF0000"/>
          <w:lang w:val="fr-FR"/>
        </w:rPr>
        <w:t>Vélingara</w:t>
      </w:r>
      <w:r>
        <w:rPr>
          <w:b/>
          <w:color w:val="FF0000"/>
          <w:lang w:val="fr-FR"/>
        </w:rPr>
        <w:tab/>
      </w:r>
    </w:p>
    <w:p w:rsidR="0032377A" w:rsidRPr="00ED7DDD" w:rsidRDefault="0032377A" w:rsidP="0032377A">
      <w:pPr>
        <w:pStyle w:val="Titre4"/>
        <w:rPr>
          <w:color w:val="FF0000"/>
        </w:rPr>
      </w:pPr>
      <w:r w:rsidRPr="00ED7DDD">
        <w:rPr>
          <w:color w:val="FF0000"/>
        </w:rPr>
        <w:t>Numero de la fiche :</w:t>
      </w:r>
      <w:r w:rsidR="002C09D3" w:rsidRPr="002C09D3">
        <w:rPr>
          <w:rFonts w:ascii="Times New Roman" w:hAnsi="Times New Roman"/>
          <w:szCs w:val="20"/>
        </w:rPr>
        <w:t xml:space="preserve"> </w:t>
      </w:r>
      <w:r w:rsidR="002C09D3" w:rsidRPr="002C09D3">
        <w:rPr>
          <w:rFonts w:ascii="Times New Roman" w:hAnsi="Times New Roman"/>
          <w:szCs w:val="20"/>
          <w:highlight w:val="cyan"/>
        </w:rPr>
        <w:t xml:space="preserve">SNKD7VLGPCI </w:t>
      </w:r>
      <w:r w:rsidR="002C09D3">
        <w:rPr>
          <w:rFonts w:ascii="Times New Roman" w:hAnsi="Times New Roman"/>
          <w:szCs w:val="20"/>
          <w:highlight w:val="cyan"/>
        </w:rPr>
        <w:t>(</w:t>
      </w:r>
      <w:r w:rsidR="00177592">
        <w:rPr>
          <w:rFonts w:ascii="Times New Roman" w:hAnsi="Times New Roman"/>
          <w:szCs w:val="20"/>
          <w:highlight w:val="cyan"/>
        </w:rPr>
        <w:t>1ou 4</w:t>
      </w:r>
      <w:bookmarkStart w:id="0" w:name="_GoBack"/>
      <w:bookmarkEnd w:id="0"/>
      <w:r w:rsidR="002C09D3" w:rsidRPr="002C09D3">
        <w:rPr>
          <w:rFonts w:ascii="Times New Roman" w:hAnsi="Times New Roman"/>
          <w:szCs w:val="20"/>
          <w:highlight w:val="cyan"/>
        </w:rPr>
        <w:t>)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32377A" w:rsidRPr="00177592" w:rsidTr="008F1DA3">
        <w:tc>
          <w:tcPr>
            <w:tcW w:w="567" w:type="dxa"/>
            <w:shd w:val="clear" w:color="auto" w:fill="F2F2F2"/>
          </w:tcPr>
          <w:p w:rsidR="0032377A" w:rsidRPr="00C92ED6" w:rsidRDefault="0032377A" w:rsidP="008F1DA3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32377A" w:rsidRPr="007254B2" w:rsidRDefault="0032377A" w:rsidP="008F1DA3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32377A" w:rsidRPr="00A06BCB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32377A" w:rsidRPr="0013052B" w:rsidRDefault="0032377A" w:rsidP="0032377A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28"/>
                <w:szCs w:val="28"/>
                <w:lang w:val="fr-FR" w:eastAsia="fr-FR"/>
              </w:rPr>
            </w:pPr>
            <w:r w:rsidRPr="0013052B">
              <w:rPr>
                <w:b/>
                <w:snapToGrid/>
                <w:sz w:val="28"/>
                <w:szCs w:val="28"/>
                <w:lang w:val="fr-FR" w:eastAsia="fr-FR"/>
              </w:rPr>
              <w:t>Le Pakoroor</w:t>
            </w:r>
            <w:r>
              <w:rPr>
                <w:b/>
                <w:snapToGrid/>
                <w:sz w:val="28"/>
                <w:szCs w:val="28"/>
                <w:lang w:val="fr-FR" w:eastAsia="fr-FR"/>
              </w:rPr>
              <w:t xml:space="preserve"> </w:t>
            </w:r>
          </w:p>
        </w:tc>
      </w:tr>
      <w:tr w:rsidR="0032377A" w:rsidRPr="00A06BCB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32377A" w:rsidRDefault="0032377A" w:rsidP="008F1DA3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</w:p>
          <w:p w:rsidR="0032377A" w:rsidRDefault="0032377A" w:rsidP="0032377A">
            <w:pPr>
              <w:spacing w:before="80" w:after="480" w:line="200" w:lineRule="exact"/>
              <w:jc w:val="left"/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  <w:t>Cérémonie d’appel à la pluie</w:t>
            </w:r>
          </w:p>
          <w:p w:rsidR="002C09D3" w:rsidRPr="002C09D3" w:rsidRDefault="002C09D3" w:rsidP="002C09D3">
            <w:pPr>
              <w:pStyle w:val="Paragraphedeliste"/>
              <w:numPr>
                <w:ilvl w:val="0"/>
                <w:numId w:val="1"/>
              </w:numPr>
              <w:spacing w:before="80" w:after="480" w:line="200" w:lineRule="exact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Connaissances liées à la nature </w:t>
            </w:r>
          </w:p>
          <w:p w:rsidR="0032377A" w:rsidRPr="00C92ED6" w:rsidRDefault="0032377A" w:rsidP="008F1DA3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32377A" w:rsidRPr="00C92ED6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en-GB" w:eastAsia="fr-FR"/>
              </w:rPr>
              <w:t>Badiaranké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Une fois par année pendant l’hivernage pratique locale</w:t>
            </w:r>
          </w:p>
        </w:tc>
      </w:tr>
      <w:tr w:rsidR="0032377A" w:rsidRPr="00177592" w:rsidTr="008F1DA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32377A" w:rsidRPr="00C92ED6" w:rsidRDefault="0032377A" w:rsidP="008F1DA3">
            <w:pPr>
              <w:spacing w:before="80" w:after="192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Le pakoroor est un rite d’invocation de la p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luie pratiquée par la communauté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Badianké dans leur zone d’habitation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(arrondissement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de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Pakour).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Ce rite est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pratiqué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par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les femmes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et les jeunes du village. Les populations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s’</w:t>
            </w:r>
            <w:r>
              <w:rPr>
                <w:snapToGrid/>
                <w:sz w:val="18"/>
                <w:szCs w:val="18"/>
                <w:lang w:val="fr-FR" w:eastAsia="fr-FR"/>
              </w:rPr>
              <w:t>habillent en haillons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 xml:space="preserve"> et entonnent des chans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ons du rite en dansant et en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exhibant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du matériel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aratoire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F2F2F2"/>
          </w:tcPr>
          <w:p w:rsidR="0032377A" w:rsidRPr="00C92ED6" w:rsidRDefault="0032377A" w:rsidP="008F1DA3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2.</w:t>
            </w:r>
          </w:p>
        </w:tc>
        <w:tc>
          <w:tcPr>
            <w:tcW w:w="8283" w:type="dxa"/>
            <w:shd w:val="clear" w:color="auto" w:fill="F2F2F2"/>
          </w:tcPr>
          <w:p w:rsidR="0032377A" w:rsidRPr="00C92ED6" w:rsidRDefault="0032377A" w:rsidP="008F1DA3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Est pratiqué par les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femmes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âgées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toutes catégories professionnelles .Ces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femmes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qui prennent l’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initiative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sont de jeunes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femmes, des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filles des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garçons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et des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griots. Pour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se faire il faut au préalable la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bénédiction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du chef de village et l’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imam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2.2.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IMAME ET chef de village</w:t>
            </w:r>
          </w:p>
        </w:tc>
      </w:tr>
      <w:tr w:rsidR="0032377A" w:rsidRPr="00A06BCB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32377A" w:rsidRDefault="0032377A" w:rsidP="008F1DA3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Badiaranké et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Pulaar</w:t>
            </w:r>
          </w:p>
          <w:p w:rsidR="0032377A" w:rsidRDefault="0032377A" w:rsidP="008F1DA3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32377A" w:rsidRPr="00C92ED6" w:rsidRDefault="0032377A" w:rsidP="008F1DA3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L’habillement est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snapToGrid/>
                <w:sz w:val="18"/>
                <w:szCs w:val="18"/>
                <w:lang w:val="fr-FR" w:eastAsia="fr-FR"/>
              </w:rPr>
              <w:t>con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titué de haillons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accompagné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de tam-tams des feuilles d’arbres des bidons vides et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des ustensiles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usés…..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Des chants et des danses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L’invocation de certains chants et danses renvoi</w:t>
            </w:r>
            <w:r w:rsidR="00313BC2">
              <w:rPr>
                <w:snapToGrid/>
                <w:sz w:val="18"/>
                <w:szCs w:val="18"/>
                <w:lang w:val="fr-FR" w:eastAsia="fr-FR"/>
              </w:rPr>
              <w:t>e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aux pratiques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coutumières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du Pakoroor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2.7.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La transmission se fait par génération c’est pour que les jeunes y sont associés au fur et à mesure que le rite s’organise</w:t>
            </w:r>
          </w:p>
        </w:tc>
      </w:tr>
      <w:tr w:rsidR="0032377A" w:rsidRPr="00177592" w:rsidTr="008F1DA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32377A" w:rsidRPr="00C56109" w:rsidRDefault="0032377A" w:rsidP="008F1DA3">
            <w:pPr>
              <w:spacing w:before="80" w:after="960" w:line="200" w:lineRule="exact"/>
              <w:ind w:left="113"/>
              <w:jc w:val="left"/>
              <w:rPr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  <w:t>l</w:t>
            </w:r>
            <w:r>
              <w:rPr>
                <w:bCs/>
                <w:caps/>
                <w:kern w:val="28"/>
                <w:sz w:val="18"/>
                <w:szCs w:val="18"/>
                <w:lang w:val="fr-FR" w:eastAsia="fr-FR"/>
              </w:rPr>
              <w:t>a communauté toute entiére mais spécialement les femmes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F2F2F2"/>
          </w:tcPr>
          <w:p w:rsidR="0032377A" w:rsidRPr="00C92ED6" w:rsidRDefault="0032377A" w:rsidP="008F1DA3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32377A" w:rsidRPr="00C92ED6" w:rsidRDefault="0032377A" w:rsidP="008F1DA3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220C59" w:rsidP="008F1DA3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La religion musulmane</w:t>
            </w:r>
            <w:r w:rsidR="0032377A">
              <w:rPr>
                <w:snapToGrid/>
                <w:sz w:val="18"/>
                <w:szCs w:val="18"/>
                <w:lang w:val="fr-FR" w:eastAsia="fr-FR"/>
              </w:rPr>
              <w:t xml:space="preserve"> et la modernité font les jeunes s’y intéresse de moins en moins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Absence d échanges entre les religieux et les chefs coutiliers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3.4.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Transmission du savoir inter générationnel pour assurer la viabilité de l’élément du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PCI</w:t>
            </w:r>
          </w:p>
        </w:tc>
      </w:tr>
      <w:tr w:rsidR="0032377A" w:rsidRPr="00177592" w:rsidTr="008F1DA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Réorganisation du rite engagement des grandes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mères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pour la transmission du savoir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F2F2F2"/>
          </w:tcPr>
          <w:p w:rsidR="0032377A" w:rsidRPr="00C92ED6" w:rsidRDefault="0032377A" w:rsidP="008F1DA3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32377A" w:rsidRPr="00C92ED6" w:rsidRDefault="0032377A" w:rsidP="008F1DA3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Le consentement du chef de village les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leaders d’opinons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et les femmes est 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avéré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:rsidR="0032377A" w:rsidRPr="006A7EDC" w:rsidRDefault="0032377A" w:rsidP="008F1DA3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Il y a des restrictions dues à la religion et à la modernité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220C59" w:rsidP="008F1DA3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Nianthio</w:t>
            </w:r>
            <w:r w:rsidR="0032377A">
              <w:rPr>
                <w:snapToGrid/>
                <w:sz w:val="18"/>
                <w:szCs w:val="18"/>
                <w:lang w:val="fr-FR" w:eastAsia="fr-FR"/>
              </w:rPr>
              <w:t xml:space="preserve"> Sané chef de village ;Mansata Camara femmes </w:t>
            </w:r>
            <w:r>
              <w:rPr>
                <w:snapToGrid/>
                <w:sz w:val="18"/>
                <w:szCs w:val="18"/>
                <w:lang w:val="fr-FR" w:eastAsia="fr-FR"/>
              </w:rPr>
              <w:t>leaders</w:t>
            </w:r>
            <w:r w:rsidR="0032377A">
              <w:rPr>
                <w:snapToGrid/>
                <w:sz w:val="18"/>
                <w:szCs w:val="18"/>
                <w:lang w:val="fr-FR" w:eastAsia="fr-FR"/>
              </w:rPr>
              <w:t xml:space="preserve"> ;Ibrahima Sané notable et </w:t>
            </w:r>
            <w:r>
              <w:rPr>
                <w:snapToGrid/>
                <w:sz w:val="18"/>
                <w:szCs w:val="18"/>
                <w:lang w:val="fr-FR" w:eastAsia="fr-FR"/>
              </w:rPr>
              <w:t>Diénaba</w:t>
            </w:r>
            <w:r w:rsidR="0032377A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snapToGrid/>
                <w:sz w:val="18"/>
                <w:szCs w:val="18"/>
                <w:lang w:val="fr-FR" w:eastAsia="fr-FR"/>
              </w:rPr>
              <w:t>Sané</w:t>
            </w:r>
            <w:r w:rsidR="0032377A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snapToGrid/>
                <w:sz w:val="18"/>
                <w:szCs w:val="18"/>
                <w:lang w:val="fr-FR" w:eastAsia="fr-FR"/>
              </w:rPr>
              <w:t>griotte</w:t>
            </w:r>
          </w:p>
        </w:tc>
      </w:tr>
      <w:tr w:rsidR="0032377A" w:rsidRPr="00177592" w:rsidTr="008F1DA3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Le 02 mai 2019 à Koufanbora commune de Paroumba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F2F2F2"/>
          </w:tcPr>
          <w:p w:rsidR="0032377A" w:rsidRPr="00C92ED6" w:rsidRDefault="0032377A" w:rsidP="008F1DA3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:rsidR="0032377A" w:rsidRPr="00C92ED6" w:rsidRDefault="0032377A" w:rsidP="008F1DA3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A16589">
              <w:rPr>
                <w:snapToGrid/>
                <w:sz w:val="18"/>
                <w:szCs w:val="18"/>
                <w:lang w:val="fr-FR" w:eastAsia="fr-FR"/>
              </w:rPr>
              <w:t>Monographies / Manuscrits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Audio conservé centre culturel régional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960" w:line="200" w:lineRule="exact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O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audio ;parures(sacs vides ;</w:t>
            </w:r>
            <w:r w:rsidR="00220C59">
              <w:rPr>
                <w:snapToGrid/>
                <w:sz w:val="18"/>
                <w:szCs w:val="18"/>
                <w:lang w:val="fr-FR" w:eastAsia="fr-FR"/>
              </w:rPr>
              <w:t>flèches</w:t>
            </w:r>
            <w:r>
              <w:rPr>
                <w:snapToGrid/>
                <w:sz w:val="18"/>
                <w:szCs w:val="18"/>
                <w:lang w:val="fr-FR" w:eastAsia="fr-FR"/>
              </w:rPr>
              <w:t>…..)</w:t>
            </w:r>
          </w:p>
        </w:tc>
      </w:tr>
      <w:tr w:rsidR="0032377A" w:rsidRPr="00C92ED6" w:rsidTr="008F1DA3">
        <w:tc>
          <w:tcPr>
            <w:tcW w:w="567" w:type="dxa"/>
            <w:shd w:val="clear" w:color="auto" w:fill="F2F2F2"/>
          </w:tcPr>
          <w:p w:rsidR="0032377A" w:rsidRPr="00C92ED6" w:rsidRDefault="0032377A" w:rsidP="008F1DA3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283" w:type="dxa"/>
            <w:shd w:val="clear" w:color="auto" w:fill="F2F2F2"/>
          </w:tcPr>
          <w:p w:rsidR="0032377A" w:rsidRPr="00C92ED6" w:rsidRDefault="0032377A" w:rsidP="008F1DA3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220C59" w:rsidP="008F1DA3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Thièdo</w:t>
            </w:r>
            <w:r w:rsidR="0032377A">
              <w:rPr>
                <w:snapToGrid/>
                <w:sz w:val="18"/>
                <w:szCs w:val="18"/>
                <w:lang w:val="fr-FR" w:eastAsia="fr-FR"/>
              </w:rPr>
              <w:t xml:space="preserve"> Baldé et Mamadou Ba tel :775546168</w:t>
            </w:r>
          </w:p>
        </w:tc>
      </w:tr>
      <w:tr w:rsidR="0032377A" w:rsidRPr="00177592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Acceptation de la communauté avec la bienvenue du chef de village et de tous les notables</w:t>
            </w:r>
          </w:p>
        </w:tc>
      </w:tr>
      <w:tr w:rsidR="0032377A" w:rsidRPr="00A06BCB" w:rsidTr="008F1DA3">
        <w:tc>
          <w:tcPr>
            <w:tcW w:w="567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:rsidR="0032377A" w:rsidRPr="00C92ED6" w:rsidRDefault="0032377A" w:rsidP="008F1DA3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Le 12 mai 2019</w:t>
            </w:r>
          </w:p>
        </w:tc>
      </w:tr>
    </w:tbl>
    <w:p w:rsidR="0032377A" w:rsidRPr="00A31579" w:rsidRDefault="0032377A" w:rsidP="0032377A">
      <w:pPr>
        <w:pStyle w:val="Texte1"/>
      </w:pPr>
    </w:p>
    <w:p w:rsidR="00DF350D" w:rsidRDefault="00DF350D"/>
    <w:sectPr w:rsidR="00DF350D" w:rsidSect="00863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E6D" w:rsidRDefault="00DD5E6D" w:rsidP="00465752">
      <w:pPr>
        <w:spacing w:before="0" w:after="0"/>
      </w:pPr>
      <w:r>
        <w:separator/>
      </w:r>
    </w:p>
  </w:endnote>
  <w:endnote w:type="continuationSeparator" w:id="0">
    <w:p w:rsidR="00DD5E6D" w:rsidRDefault="00DD5E6D" w:rsidP="004657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DD5E6D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32377A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DD5E6D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E6D" w:rsidRDefault="00DD5E6D" w:rsidP="00465752">
      <w:pPr>
        <w:spacing w:before="0" w:after="0"/>
      </w:pPr>
      <w:r>
        <w:separator/>
      </w:r>
    </w:p>
  </w:footnote>
  <w:footnote w:type="continuationSeparator" w:id="0">
    <w:p w:rsidR="00DD5E6D" w:rsidRDefault="00DD5E6D" w:rsidP="004657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32377A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B4556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B4556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="00B4556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32377A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B4556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B4556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177592">
      <w:rPr>
        <w:rFonts w:eastAsia="Calibri" w:cs="Times New Roman"/>
        <w:noProof/>
        <w:snapToGrid/>
        <w:sz w:val="16"/>
        <w:szCs w:val="22"/>
        <w:lang w:val="it-IT" w:eastAsia="en-US"/>
      </w:rPr>
      <w:t>4</w:t>
    </w:r>
    <w:r w:rsidR="00B45561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32377A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F3891"/>
    <w:multiLevelType w:val="hybridMultilevel"/>
    <w:tmpl w:val="7E04C232"/>
    <w:lvl w:ilvl="0" w:tplc="9D2638FC">
      <w:numFmt w:val="bullet"/>
      <w:lvlText w:val="-"/>
      <w:lvlJc w:val="left"/>
      <w:pPr>
        <w:ind w:left="480" w:hanging="360"/>
      </w:pPr>
      <w:rPr>
        <w:rFonts w:ascii="Times New Roman" w:eastAsia="SimSu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7A"/>
    <w:rsid w:val="00053447"/>
    <w:rsid w:val="00177592"/>
    <w:rsid w:val="00220C59"/>
    <w:rsid w:val="002C09D3"/>
    <w:rsid w:val="00313BC2"/>
    <w:rsid w:val="0032377A"/>
    <w:rsid w:val="003E0B97"/>
    <w:rsid w:val="00465752"/>
    <w:rsid w:val="006308A5"/>
    <w:rsid w:val="00650E41"/>
    <w:rsid w:val="00803A7F"/>
    <w:rsid w:val="008E7300"/>
    <w:rsid w:val="00B45561"/>
    <w:rsid w:val="00B45F92"/>
    <w:rsid w:val="00CE6232"/>
    <w:rsid w:val="00DD5E6D"/>
    <w:rsid w:val="00D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0A41C-412B-4869-8446-5BF10998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7A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32377A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="Times New Roman" w:cs="Times New Roman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32377A"/>
    <w:rPr>
      <w:rFonts w:ascii="Arial" w:eastAsia="Times New Roman" w:hAnsi="Arial" w:cs="Times New Roman"/>
      <w:b/>
      <w:caps/>
      <w:sz w:val="20"/>
    </w:rPr>
  </w:style>
  <w:style w:type="paragraph" w:customStyle="1" w:styleId="Texte1">
    <w:name w:val="Texte1"/>
    <w:basedOn w:val="Normal"/>
    <w:link w:val="Texte1Car"/>
    <w:rsid w:val="0032377A"/>
    <w:pPr>
      <w:spacing w:before="0" w:after="60" w:line="280" w:lineRule="exact"/>
      <w:ind w:left="851"/>
    </w:pPr>
    <w:rPr>
      <w:rFonts w:cs="Times New Roman"/>
      <w:snapToGrid/>
      <w:sz w:val="20"/>
    </w:rPr>
  </w:style>
  <w:style w:type="character" w:customStyle="1" w:styleId="Texte1Car">
    <w:name w:val="Texte1 Car"/>
    <w:link w:val="Texte1"/>
    <w:rsid w:val="0032377A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Tabtxt">
    <w:name w:val="Tabtxt"/>
    <w:basedOn w:val="Normal"/>
    <w:rsid w:val="0032377A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2C0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GUISSE</cp:lastModifiedBy>
  <cp:revision>6</cp:revision>
  <dcterms:created xsi:type="dcterms:W3CDTF">2019-05-24T11:42:00Z</dcterms:created>
  <dcterms:modified xsi:type="dcterms:W3CDTF">2020-10-11T16:53:00Z</dcterms:modified>
</cp:coreProperties>
</file>