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Pr="00F15CC3" w:rsidRDefault="00F355F4" w:rsidP="00D11FA6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Cs w:val="20"/>
          <w:lang w:eastAsia="zh-CN"/>
        </w:rPr>
      </w:pPr>
      <w:bookmarkStart w:id="0" w:name="_GoBack"/>
      <w:bookmarkEnd w:id="0"/>
      <w:r w:rsidRPr="00F15CC3">
        <w:rPr>
          <w:rFonts w:eastAsia="Calibri" w:cs="Arial"/>
          <w:bCs/>
          <w:caps w:val="0"/>
          <w:snapToGrid w:val="0"/>
          <w:color w:val="3366FF"/>
          <w:kern w:val="28"/>
          <w:szCs w:val="20"/>
          <w:lang w:eastAsia="zh-CN"/>
        </w:rPr>
        <w:t>FICHE TYPE D’INVENTAIRE DU PCI</w:t>
      </w:r>
    </w:p>
    <w:p w:rsidR="00F355F4" w:rsidRPr="00F15CC3" w:rsidRDefault="00F355F4" w:rsidP="00F355F4">
      <w:pPr>
        <w:rPr>
          <w:sz w:val="20"/>
          <w:szCs w:val="20"/>
          <w:lang w:val="fr-FR"/>
        </w:rPr>
      </w:pPr>
    </w:p>
    <w:p w:rsidR="00F355F4" w:rsidRPr="00F15CC3" w:rsidRDefault="00F355F4" w:rsidP="00F355F4">
      <w:pPr>
        <w:rPr>
          <w:b/>
          <w:sz w:val="20"/>
          <w:szCs w:val="20"/>
          <w:lang w:val="fr-FR"/>
        </w:rPr>
      </w:pPr>
      <w:r w:rsidRPr="00F15CC3">
        <w:rPr>
          <w:b/>
          <w:sz w:val="20"/>
          <w:szCs w:val="20"/>
          <w:lang w:val="fr-FR"/>
        </w:rPr>
        <w:t xml:space="preserve">REGION : </w:t>
      </w:r>
      <w:r w:rsidR="00472169" w:rsidRPr="00F15CC3">
        <w:rPr>
          <w:b/>
          <w:sz w:val="20"/>
          <w:szCs w:val="20"/>
          <w:lang w:val="fr-FR"/>
        </w:rPr>
        <w:t>MATAM</w:t>
      </w:r>
    </w:p>
    <w:p w:rsidR="00F355F4" w:rsidRPr="00F15CC3" w:rsidRDefault="00F355F4" w:rsidP="00F355F4">
      <w:pPr>
        <w:rPr>
          <w:b/>
          <w:sz w:val="20"/>
          <w:szCs w:val="20"/>
          <w:lang w:val="fr-FR"/>
        </w:rPr>
      </w:pPr>
    </w:p>
    <w:p w:rsidR="00F355F4" w:rsidRPr="00F15CC3" w:rsidRDefault="00F355F4" w:rsidP="00F355F4">
      <w:pPr>
        <w:rPr>
          <w:b/>
          <w:sz w:val="20"/>
          <w:szCs w:val="20"/>
          <w:lang w:val="fr-FR"/>
        </w:rPr>
      </w:pPr>
      <w:r w:rsidRPr="00F15CC3">
        <w:rPr>
          <w:b/>
          <w:sz w:val="20"/>
          <w:szCs w:val="20"/>
          <w:lang w:val="fr-FR"/>
        </w:rPr>
        <w:t>DEPARTEMENT :</w:t>
      </w:r>
      <w:r w:rsidR="00472169" w:rsidRPr="00F15CC3">
        <w:rPr>
          <w:b/>
          <w:sz w:val="20"/>
          <w:szCs w:val="20"/>
          <w:lang w:val="fr-FR"/>
        </w:rPr>
        <w:t xml:space="preserve"> RANEROU</w:t>
      </w:r>
    </w:p>
    <w:p w:rsidR="00C92ED6" w:rsidRPr="00F15CC3" w:rsidRDefault="00F355F4" w:rsidP="00F355F4">
      <w:pPr>
        <w:pStyle w:val="Titre4"/>
        <w:rPr>
          <w:szCs w:val="20"/>
        </w:rPr>
      </w:pPr>
      <w:r w:rsidRPr="00F15CC3">
        <w:rPr>
          <w:szCs w:val="20"/>
        </w:rPr>
        <w:t>Numero de la fiche :</w:t>
      </w:r>
      <w:r w:rsidR="00472169" w:rsidRPr="00F15CC3">
        <w:rPr>
          <w:szCs w:val="20"/>
        </w:rPr>
        <w:t xml:space="preserve"> </w:t>
      </w:r>
      <w:r w:rsidR="007E14A5" w:rsidRPr="00F15CC3">
        <w:rPr>
          <w:szCs w:val="20"/>
        </w:rPr>
        <w:t>SNMT9RANPCI    3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F15CC3">
              <w:rPr>
                <w:rFonts w:ascii="Arial Bold" w:hAnsi="Arial Bold"/>
                <w:b/>
                <w:caps/>
                <w:snapToGrid w:val="0"/>
                <w:sz w:val="20"/>
                <w:szCs w:val="20"/>
              </w:rPr>
              <w:t>Identification de l’élément du PCI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Nom de l’élément du PCI tel qu’il est employé par la communauté concernée</w:t>
            </w:r>
          </w:p>
          <w:p w:rsidR="00472169" w:rsidRPr="00A24EC1" w:rsidRDefault="00472169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Yaaro</w:t>
            </w:r>
            <w:proofErr w:type="spellEnd"/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A06BCB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 xml:space="preserve">Titre </w:t>
            </w:r>
            <w:r w:rsidR="00C92ED6" w:rsidRPr="00F15CC3">
              <w:rPr>
                <w:snapToGrid/>
                <w:sz w:val="20"/>
                <w:szCs w:val="20"/>
                <w:lang w:val="fr-FR" w:eastAsia="fr-FR"/>
              </w:rPr>
              <w:t>de l’élément du PCI ‒ avec indication du (des) domaine(s) du PCI concerné(s)</w:t>
            </w:r>
          </w:p>
          <w:p w:rsidR="00472169" w:rsidRPr="00A24EC1" w:rsidRDefault="00472169" w:rsidP="00A24EC1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Yaaro</w:t>
            </w:r>
            <w:proofErr w:type="spellEnd"/>
            <w:r w:rsidR="00A24EC1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 : Pratiques sociales, rituels et événement festifs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en-GB" w:eastAsia="fr-FR"/>
              </w:rPr>
            </w:pPr>
            <w:proofErr w:type="spellStart"/>
            <w:r w:rsidRPr="00F15CC3">
              <w:rPr>
                <w:snapToGrid/>
                <w:sz w:val="20"/>
                <w:szCs w:val="20"/>
                <w:lang w:val="en-GB" w:eastAsia="fr-FR"/>
              </w:rPr>
              <w:t>Communauté</w:t>
            </w:r>
            <w:proofErr w:type="spellEnd"/>
            <w:r w:rsidRPr="00F15CC3">
              <w:rPr>
                <w:snapToGrid/>
                <w:sz w:val="20"/>
                <w:szCs w:val="20"/>
                <w:lang w:val="en-GB" w:eastAsia="fr-FR"/>
              </w:rPr>
              <w:t xml:space="preserve">(s) </w:t>
            </w:r>
            <w:proofErr w:type="spellStart"/>
            <w:r w:rsidRPr="00F15CC3">
              <w:rPr>
                <w:snapToGrid/>
                <w:sz w:val="20"/>
                <w:szCs w:val="20"/>
                <w:lang w:val="en-GB" w:eastAsia="fr-FR"/>
              </w:rPr>
              <w:t>concernée</w:t>
            </w:r>
            <w:proofErr w:type="spellEnd"/>
            <w:r w:rsidRPr="00F15CC3">
              <w:rPr>
                <w:snapToGrid/>
                <w:sz w:val="20"/>
                <w:szCs w:val="20"/>
                <w:lang w:val="en-GB" w:eastAsia="fr-FR"/>
              </w:rPr>
              <w:t>(s)</w:t>
            </w:r>
          </w:p>
          <w:p w:rsidR="00472169" w:rsidRPr="00A24EC1" w:rsidRDefault="00472169" w:rsidP="00A24EC1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en-GB" w:eastAsia="fr-FR"/>
              </w:rPr>
              <w:t>Peulhs</w:t>
            </w:r>
            <w:proofErr w:type="spellEnd"/>
            <w:r w:rsidR="00A24EC1" w:rsidRPr="00A24EC1">
              <w:rPr>
                <w:snapToGrid/>
                <w:color w:val="1F497D" w:themeColor="text2"/>
                <w:sz w:val="20"/>
                <w:szCs w:val="20"/>
                <w:lang w:val="en-GB" w:eastAsia="fr-FR"/>
              </w:rPr>
              <w:t xml:space="preserve"> du </w:t>
            </w:r>
            <w:proofErr w:type="spellStart"/>
            <w:r w:rsidR="00A24EC1" w:rsidRPr="00A24EC1">
              <w:rPr>
                <w:snapToGrid/>
                <w:color w:val="1F497D" w:themeColor="text2"/>
                <w:sz w:val="20"/>
                <w:szCs w:val="20"/>
                <w:lang w:val="en-GB" w:eastAsia="fr-FR"/>
              </w:rPr>
              <w:t>ferlo</w:t>
            </w:r>
            <w:proofErr w:type="spellEnd"/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Emplacement(s) physique(s)/répartition et fréquence de la pratique de l’élément du PCI</w:t>
            </w:r>
          </w:p>
          <w:p w:rsidR="00472169" w:rsidRPr="00A24EC1" w:rsidRDefault="00472169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Cas-cas,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ferlo</w:t>
            </w:r>
            <w:proofErr w:type="spell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dandemayo</w:t>
            </w:r>
            <w:proofErr w:type="spellEnd"/>
          </w:p>
        </w:tc>
      </w:tr>
      <w:tr w:rsidR="00C92ED6" w:rsidRPr="00F15CC3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472169" w:rsidRPr="00F15CC3" w:rsidRDefault="00C92ED6" w:rsidP="00A24EC1">
            <w:pPr>
              <w:spacing w:before="80" w:after="1920" w:line="200" w:lineRule="exact"/>
              <w:ind w:left="113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Brève description de l’élément du PCI (de préférence pas plus de 200 mots)</w:t>
            </w:r>
            <w:r w:rsidR="00472169" w:rsidRPr="00F15CC3">
              <w:rPr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</w:t>
            </w:r>
            <w:r w:rsidR="00EE3646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e </w:t>
            </w:r>
            <w:proofErr w:type="spellStart"/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yaaro</w:t>
            </w:r>
            <w:proofErr w:type="spellEnd"/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est une expression qui fait ressortir le lien qui lie le berger à son troupeau</w:t>
            </w:r>
            <w:r w:rsidR="00A24EC1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, 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c’est une parade qui implique aussi bien le berger que les moutons qui composent 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troupeau. Le berger exécute un certain nombre de geste suivant un parcours </w:t>
            </w:r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orné de pagnes tissés «</w:t>
            </w:r>
            <w:proofErr w:type="spellStart"/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guude</w:t>
            </w:r>
            <w:proofErr w:type="spellEnd"/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ca</w:t>
            </w:r>
            <w:r w:rsidR="00EE3646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naade</w:t>
            </w:r>
            <w:proofErr w:type="spellEnd"/>
            <w:r w:rsidR="00EE3646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 » qui indique en même temps la direction à suivre ; le 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troupeau copie et exécute</w:t>
            </w:r>
            <w:r w:rsidR="00EE3646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à son tour tous les gestes et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prouesses </w:t>
            </w:r>
            <w:r w:rsidR="00EE3646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du berger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. Le </w:t>
            </w:r>
            <w:proofErr w:type="spellStart"/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Yaaro</w:t>
            </w:r>
            <w:proofErr w:type="spellEnd"/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se tient après la saison sèche en pleine saison des pluies, moment caractérisé par l’abondance des pâturages, il s’organis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</w:t>
            </w:r>
            <w:r w:rsidR="00472169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sous forme de compétition entre bergers sous la supervision des anciens</w:t>
            </w:r>
            <w:r w:rsidR="00472169" w:rsidRPr="00F15CC3">
              <w:rPr>
                <w:snapToGrid/>
                <w:sz w:val="20"/>
                <w:szCs w:val="20"/>
                <w:lang w:val="fr-FR" w:eastAsia="fr-FR"/>
              </w:rPr>
              <w:t xml:space="preserve"> ; 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Caractéristiques de l’élément du PCI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lastRenderedPageBreak/>
              <w:t>2.1.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 w:righ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7E14A5" w:rsidRPr="00A24EC1" w:rsidRDefault="00EA7DCB" w:rsidP="007E14A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Bergers, notables </w:t>
            </w:r>
            <w:r w:rsidR="007E14A5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de la communauté </w:t>
            </w:r>
          </w:p>
          <w:p w:rsidR="007E14A5" w:rsidRPr="00A24EC1" w:rsidRDefault="007E14A5" w:rsidP="007E14A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Pathé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demba</w:t>
            </w:r>
            <w:proofErr w:type="spell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président maison des éleveurs de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ranérou</w:t>
            </w:r>
            <w:proofErr w:type="spell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+ 221 70 798 16 87 </w:t>
            </w:r>
          </w:p>
          <w:p w:rsidR="00EA7DCB" w:rsidRPr="00A24EC1" w:rsidRDefault="007E14A5" w:rsidP="007E14A5">
            <w:pPr>
              <w:spacing w:before="80" w:after="960" w:line="200" w:lineRule="exact"/>
              <w:ind w:left="113" w:righ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Mamadou gallo </w:t>
            </w:r>
            <w:proofErr w:type="spell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sow</w:t>
            </w:r>
            <w:proofErr w:type="spell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conseiller</w:t>
            </w:r>
            <w:proofErr w:type="gramEnd"/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municipal : + 221 537 80 06</w:t>
            </w:r>
          </w:p>
          <w:p w:rsidR="00472169" w:rsidRPr="00F15CC3" w:rsidRDefault="00472169" w:rsidP="00C92ED6">
            <w:pPr>
              <w:spacing w:before="80" w:after="960" w:line="200" w:lineRule="exact"/>
              <w:ind w:left="113" w:righ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</w:p>
          <w:p w:rsidR="00472169" w:rsidRPr="00F15CC3" w:rsidRDefault="00472169" w:rsidP="00C92ED6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 w:righ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9F5718" w:rsidRPr="00A24EC1" w:rsidRDefault="009F5718" w:rsidP="005914A0">
            <w:pPr>
              <w:spacing w:before="80" w:after="960" w:line="200" w:lineRule="exact"/>
              <w:ind w:left="113" w:right="113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 jeunes hommes interviennent pour éviter que les troupeaux ne se dispersent, les anciens bergers s’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occupent de la supervision et départagent également les concurrents. </w:t>
            </w:r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ils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se charge</w:t>
            </w:r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nt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d’observer la bonne </w:t>
            </w:r>
            <w:r w:rsidR="005914A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exécution de la parade et désignent le vainqueur.</w:t>
            </w:r>
            <w:r w:rsidR="00246FD2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La participation des femmes se manifeste par la préparation de repas et par des chants et des danses pour accompagner la parade.   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Langue(s) ou registre(s) de langue utilisée(s)</w:t>
            </w:r>
          </w:p>
          <w:p w:rsidR="009F5718" w:rsidRPr="00A24EC1" w:rsidRDefault="00EE364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eulh</w:t>
            </w: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du Ferlo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9F5718" w:rsidRPr="00A24EC1" w:rsidRDefault="00C92ED6" w:rsidP="00A24EC1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  <w:r w:rsidR="00A24EC1">
              <w:rPr>
                <w:snapToGrid/>
                <w:sz w:val="20"/>
                <w:szCs w:val="20"/>
                <w:lang w:val="fr-FR" w:eastAsia="fr-FR"/>
              </w:rPr>
              <w:t xml:space="preserve">                         </w:t>
            </w:r>
            <w:r w:rsidR="00BB3CF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Des calebasses sont utilisées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pour donner le rythme, </w:t>
            </w:r>
            <w:r w:rsidR="00BB3CF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 autres effets des bergers comme</w:t>
            </w:r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le </w:t>
            </w:r>
            <w:r w:rsidR="00A24EC1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bâton</w:t>
            </w:r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, le turban, le sifflet « </w:t>
            </w:r>
            <w:proofErr w:type="spellStart"/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Marign</w:t>
            </w:r>
            <w:proofErr w:type="spellEnd"/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 », les bagues en cuivre et les</w:t>
            </w:r>
            <w:r w:rsid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pagnes</w:t>
            </w:r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tissés</w:t>
            </w:r>
            <w:r w:rsidR="00BB3CF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raditionnelles</w:t>
            </w:r>
            <w:proofErr w:type="spellEnd"/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sont 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utilisés</w:t>
            </w:r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dans l’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exécution</w:t>
            </w:r>
            <w:r w:rsidR="00F046D0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la 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parade.</w:t>
            </w:r>
          </w:p>
          <w:p w:rsidR="009F5718" w:rsidRPr="00F15CC3" w:rsidRDefault="009F5718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lastRenderedPageBreak/>
              <w:t>2.5.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9F5718" w:rsidRPr="00A24EC1" w:rsidRDefault="00A24EC1" w:rsidP="00A24EC1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Des c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hants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de réjouissance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sont entonnés 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pour galvaniser 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 participants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,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des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rythmes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comme le « </w:t>
            </w:r>
            <w:proofErr w:type="spellStart"/>
            <w:r w:rsidR="00F0224D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fatang</w:t>
            </w:r>
            <w:proofErr w:type="spellEnd"/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 », le « </w:t>
            </w:r>
            <w:proofErr w:type="spellStart"/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j</w:t>
            </w:r>
            <w:r w:rsidR="00F0224D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arru</w:t>
            </w:r>
            <w:proofErr w:type="spellEnd"/>
            <w:r w:rsidR="00F0224D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 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» et le « </w:t>
            </w:r>
            <w:proofErr w:type="spellStart"/>
            <w:r w:rsidR="00F0224D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poyi</w:t>
            </w:r>
            <w:proofErr w:type="spellEnd"/>
            <w:r w:rsidR="00F0224D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 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» sont joués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et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l’</w:t>
            </w: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utilisation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d’un instrument en forme de sifflet </w:t>
            </w:r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«  </w:t>
            </w:r>
            <w:proofErr w:type="spellStart"/>
            <w:r w:rsidR="005A1814" w:rsidRPr="00A24EC1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marign</w:t>
            </w:r>
            <w:proofErr w:type="spellEnd"/>
            <w:r w:rsidR="005A1814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 »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permet aux bergers d’</w:t>
            </w:r>
            <w:r w:rsidR="009F5718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appeler les troupeaux</w:t>
            </w:r>
            <w:r w:rsidR="00F0224D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.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9F5718" w:rsidRPr="00A24EC1" w:rsidRDefault="00F0224D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Il n’y a pas de cérémonial prévu à cet effet</w:t>
            </w:r>
            <w:r w:rsidR="00D047CC" w:rsidRPr="00A24EC1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Modes de transmission aux autres membres de la communauté</w:t>
            </w:r>
          </w:p>
          <w:p w:rsidR="00D047CC" w:rsidRPr="003D0224" w:rsidRDefault="00D047CC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La transmission se fait en famille de père en fils</w:t>
            </w:r>
          </w:p>
        </w:tc>
      </w:tr>
      <w:tr w:rsidR="00C92ED6" w:rsidRPr="00F15CC3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</w:p>
          <w:p w:rsidR="00D047CC" w:rsidRPr="003D0224" w:rsidRDefault="00D047CC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Communauté peulh</w:t>
            </w:r>
            <w:r w:rsidR="00F0224D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du </w:t>
            </w:r>
            <w:proofErr w:type="spellStart"/>
            <w:r w:rsidR="00F0224D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ferlo</w:t>
            </w:r>
            <w:proofErr w:type="spellEnd"/>
          </w:p>
        </w:tc>
      </w:tr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 w:right="57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D047CC" w:rsidRPr="003D0224" w:rsidRDefault="00F0224D" w:rsidP="005B5324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éléments </w:t>
            </w:r>
            <w:r w:rsidR="005B5324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qui menacent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la pratique sont : 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 vol de bétail, le dérèglement climatique, la rareté des pâturages</w:t>
            </w:r>
            <w:r w:rsidR="005B5324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et la </w:t>
            </w:r>
            <w:r w:rsidR="003D0224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sédentarité</w:t>
            </w:r>
            <w:r w:rsidR="005B5324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.</w:t>
            </w:r>
            <w:r w:rsidR="00BB3CF0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lastRenderedPageBreak/>
              <w:t>3.2.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</w:p>
          <w:p w:rsidR="00D047CC" w:rsidRPr="003D0224" w:rsidRDefault="005B5324" w:rsidP="005B532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 menaces sur la transmission sont : l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’absence de documents écrits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et désintéressement de la nouvelle </w:t>
            </w:r>
            <w:r w:rsidR="003D0224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génération.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D047CC" w:rsidRPr="003D0224" w:rsidRDefault="005B5324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 menaces sont : Le r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échauffement climatique et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la 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modernité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3D0224" w:rsidRPr="003D0224" w:rsidRDefault="003D0224" w:rsidP="00C92ED6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éléments associés au </w:t>
            </w:r>
            <w:proofErr w:type="spellStart"/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Yarro</w:t>
            </w:r>
            <w:proofErr w:type="spellEnd"/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comme les rythmes et les incantations «  </w:t>
            </w:r>
            <w:proofErr w:type="spellStart"/>
            <w:r w:rsidRPr="003D0224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Ceffi</w:t>
            </w:r>
            <w:proofErr w:type="spellEnd"/>
            <w:r w:rsidRPr="003D0224">
              <w:rPr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 » sont utilisés quotidiennement dans la société peulh </w:t>
            </w:r>
          </w:p>
          <w:p w:rsidR="00D047CC" w:rsidRPr="00F15CC3" w:rsidRDefault="00D047CC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F15CC3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ind w:left="113" w:right="57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5B5324" w:rsidRPr="003D0224" w:rsidRDefault="005B5324" w:rsidP="005B5324">
            <w:pPr>
              <w:spacing w:before="80" w:after="960" w:line="200" w:lineRule="exact"/>
              <w:ind w:left="113" w:right="57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Il est urgent de penser à prendre des mesures pour la c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onservation à travers des docu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mentaires ou captures d’images et l’organisation</w:t>
            </w:r>
            <w:r w:rsidR="00D047CC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d’un festival autour de l’élément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.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F25AE7" w:rsidP="00F25AE7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C92ED6" w:rsidRPr="003D0224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  <w:r w:rsidR="00E20A38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3D0224">
              <w:rPr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                                           </w:t>
            </w:r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 consentement de la communauté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à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été recueilli par enregistrement audio en présence des notables dépositaire de l’élément qui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on t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exprimé leur engagement par la voie de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pathé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Demba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( président de la</w:t>
            </w:r>
            <w:r w:rsid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maison des éleveurs de Ranérou) </w:t>
            </w:r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70 798 16 87 , Mamadou </w:t>
            </w:r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lastRenderedPageBreak/>
              <w:t xml:space="preserve">gallo </w:t>
            </w:r>
            <w:proofErr w:type="spellStart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sow</w:t>
            </w:r>
            <w:proofErr w:type="spellEnd"/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77 537 80 06</w:t>
            </w:r>
          </w:p>
          <w:p w:rsidR="00E20A38" w:rsidRPr="003D0224" w:rsidRDefault="00E20A38" w:rsidP="00C92ED6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</w:p>
          <w:p w:rsidR="00EA7DCB" w:rsidRPr="00F15CC3" w:rsidRDefault="00EA7DCB" w:rsidP="003D0224">
            <w:pPr>
              <w:spacing w:before="80" w:after="480" w:line="200" w:lineRule="exact"/>
              <w:jc w:val="lef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lastRenderedPageBreak/>
              <w:t>4.2.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Restrictions et autorisations concernant les données</w:t>
            </w:r>
          </w:p>
          <w:p w:rsidR="00EA7DCB" w:rsidRPr="003D0224" w:rsidRDefault="00EA7DCB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aucunes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172A30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 xml:space="preserve">Personne(s) ressource(s) : nom et statut 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Pathé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demba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président maison des éleveurs de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ranérou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+ 221 70 798 16 87 </w:t>
            </w:r>
          </w:p>
          <w:p w:rsidR="00EA7DCB" w:rsidRPr="00F15CC3" w:rsidRDefault="00E20A38" w:rsidP="00E20A38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Mamadou gallo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sow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conseiller</w:t>
            </w:r>
            <w:proofErr w:type="gram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municipal : + 221 537 80 06</w:t>
            </w:r>
          </w:p>
        </w:tc>
      </w:tr>
      <w:tr w:rsidR="00C92ED6" w:rsidRPr="00F15CC3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EA7DCB" w:rsidRPr="00F15CC3" w:rsidRDefault="00C92ED6" w:rsidP="00EA7DCB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Date(s) et lieu(x) de recueil des données</w:t>
            </w:r>
            <w:r w:rsidR="00EA7DCB" w:rsidRPr="00F15CC3">
              <w:rPr>
                <w:snapToGrid/>
                <w:sz w:val="20"/>
                <w:szCs w:val="20"/>
                <w:lang w:val="fr-FR" w:eastAsia="fr-FR"/>
              </w:rPr>
              <w:t xml:space="preserve">   04 / 05 / 2019</w:t>
            </w:r>
          </w:p>
          <w:p w:rsidR="00EA7DCB" w:rsidRPr="00F15CC3" w:rsidRDefault="00EA7DCB" w:rsidP="00EA7DCB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</w:p>
        </w:tc>
      </w:tr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172A30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Monographies / Manuscrits</w:t>
            </w:r>
            <w:r w:rsidR="00A16589" w:rsidRPr="00F15CC3">
              <w:rPr>
                <w:snapToGrid/>
                <w:sz w:val="20"/>
                <w:szCs w:val="20"/>
                <w:lang w:val="fr-FR" w:eastAsia="fr-FR"/>
              </w:rPr>
              <w:t xml:space="preserve"> conservés dans des bibliothèques, librairies ou détenus par des particuliers</w:t>
            </w:r>
          </w:p>
          <w:p w:rsidR="00EA7DCB" w:rsidRPr="003D0224" w:rsidRDefault="00EA7DCB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Archives nationales du </w:t>
            </w:r>
            <w:r w:rsidR="00E20A38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Sénégal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, conseil départemental de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ranérou</w:t>
            </w:r>
            <w:proofErr w:type="spellEnd"/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A16589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Enregistrements</w:t>
            </w:r>
            <w:r w:rsidR="00C92ED6" w:rsidRPr="00F15CC3">
              <w:rPr>
                <w:snapToGrid/>
                <w:sz w:val="20"/>
                <w:szCs w:val="20"/>
                <w:lang w:val="fr-FR" w:eastAsia="fr-FR"/>
              </w:rPr>
              <w:t xml:space="preserve"> audiovisuel</w:t>
            </w:r>
            <w:r w:rsidRPr="00F15CC3">
              <w:rPr>
                <w:snapToGrid/>
                <w:sz w:val="20"/>
                <w:szCs w:val="20"/>
                <w:lang w:val="fr-FR" w:eastAsia="fr-FR"/>
              </w:rPr>
              <w:t>s</w:t>
            </w:r>
            <w:r w:rsidR="00C92ED6" w:rsidRPr="00F15CC3">
              <w:rPr>
                <w:snapToGrid/>
                <w:sz w:val="20"/>
                <w:szCs w:val="20"/>
                <w:lang w:val="fr-FR" w:eastAsia="fr-FR"/>
              </w:rPr>
              <w:t xml:space="preserve"> conservés dans des archives, musées et collections privées (le cas échéant)</w:t>
            </w:r>
          </w:p>
          <w:p w:rsidR="00EA7DCB" w:rsidRPr="003D0224" w:rsidRDefault="00EA7DCB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Films privés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A16589" w:rsidP="00A16589">
            <w:pPr>
              <w:spacing w:before="80" w:after="960" w:line="200" w:lineRule="exact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 xml:space="preserve"> O</w:t>
            </w:r>
            <w:r w:rsidR="00C92ED6" w:rsidRPr="00F15CC3">
              <w:rPr>
                <w:snapToGrid/>
                <w:sz w:val="20"/>
                <w:szCs w:val="20"/>
                <w:lang w:val="fr-FR" w:eastAsia="fr-FR"/>
              </w:rPr>
              <w:t>bjets conservés dans des archives, musées et collections privées (le cas échéant)</w:t>
            </w:r>
          </w:p>
          <w:p w:rsidR="00EA7DCB" w:rsidRPr="003D0224" w:rsidRDefault="00EA7DCB" w:rsidP="00A16589">
            <w:pPr>
              <w:spacing w:before="80" w:after="960" w:line="200" w:lineRule="exact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lastRenderedPageBreak/>
              <w:t>Sifflets « marine » conservés par les anciens bergers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jc w:val="right"/>
              <w:rPr>
                <w:b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sz w:val="20"/>
                <w:szCs w:val="20"/>
                <w:lang w:val="fr-FR" w:eastAsia="fr-FR"/>
              </w:rPr>
              <w:lastRenderedPageBreak/>
              <w:t>6.</w:t>
            </w:r>
          </w:p>
        </w:tc>
        <w:tc>
          <w:tcPr>
            <w:tcW w:w="8283" w:type="dxa"/>
            <w:shd w:val="clear" w:color="auto" w:fill="F2F2F2"/>
          </w:tcPr>
          <w:p w:rsidR="00C92ED6" w:rsidRPr="00F15CC3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F15CC3">
              <w:rPr>
                <w:b/>
                <w:bCs/>
                <w:caps/>
                <w:snapToGrid/>
                <w:sz w:val="20"/>
                <w:szCs w:val="20"/>
                <w:lang w:val="en-GB" w:eastAsia="fr-FR"/>
              </w:rPr>
              <w:t>Données d’inventaire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 xml:space="preserve">Nom </w:t>
            </w:r>
            <w:r w:rsidR="00F355F4" w:rsidRPr="00F15CC3">
              <w:rPr>
                <w:snapToGrid/>
                <w:sz w:val="20"/>
                <w:szCs w:val="20"/>
                <w:lang w:val="fr-FR" w:eastAsia="fr-FR"/>
              </w:rPr>
              <w:t xml:space="preserve">et contacts </w:t>
            </w:r>
            <w:r w:rsidRPr="00F15CC3">
              <w:rPr>
                <w:snapToGrid/>
                <w:sz w:val="20"/>
                <w:szCs w:val="20"/>
                <w:lang w:val="fr-FR" w:eastAsia="fr-FR"/>
              </w:rPr>
              <w:t>de la pe</w:t>
            </w:r>
            <w:r w:rsidR="00172A30" w:rsidRPr="00F15CC3">
              <w:rPr>
                <w:snapToGrid/>
                <w:sz w:val="20"/>
                <w:szCs w:val="20"/>
                <w:lang w:val="fr-FR" w:eastAsia="fr-FR"/>
              </w:rPr>
              <w:t>rsonne(s) ayant compilé les données</w:t>
            </w:r>
            <w:r w:rsidRPr="00F15CC3">
              <w:rPr>
                <w:snapToGrid/>
                <w:sz w:val="20"/>
                <w:szCs w:val="20"/>
                <w:lang w:val="fr-FR" w:eastAsia="fr-FR"/>
              </w:rPr>
              <w:t xml:space="preserve"> de l’inventaire</w:t>
            </w:r>
          </w:p>
          <w:p w:rsidR="00EA7DCB" w:rsidRPr="003D0224" w:rsidRDefault="00EA7DCB" w:rsidP="00C92ED6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Pathé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demba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président maison des éleveurs de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ranérou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+ 221 70 798 16 87 </w:t>
            </w:r>
          </w:p>
          <w:p w:rsidR="00EA7DCB" w:rsidRPr="003D0224" w:rsidRDefault="00EA7DCB" w:rsidP="00C92ED6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Mamadou gallo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sow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="007E14A5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conseiller</w:t>
            </w:r>
            <w:proofErr w:type="gramEnd"/>
            <w:r w:rsidR="007E14A5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municipal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 : + 221 537 80 06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Samba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mbodj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directeur du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cedeps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Matam 77 5 41 86 14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Mamadou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diallo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directeur du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cedeps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ranérou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70 106 25 19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alpha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bureau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parteneuriat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IA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matam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77 542 03 20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Amadou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mamadou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diaw</w:t>
            </w:r>
            <w:proofErr w:type="spellEnd"/>
            <w:r w:rsid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agent du CCR de Matam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77 948 83 81</w:t>
            </w:r>
          </w:p>
          <w:p w:rsidR="00E20A38" w:rsidRPr="003D0224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Cheikh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ndiaye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</w:t>
            </w:r>
            <w:r w:rsid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Directeur du Centre culturel régional de Matam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77 552 06 28</w:t>
            </w:r>
          </w:p>
          <w:p w:rsidR="00E20A38" w:rsidRPr="00E20A38" w:rsidRDefault="00E20A38" w:rsidP="00E20A38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Mme Fatima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fall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Directrice du CRS de Saint louis </w:t>
            </w:r>
            <w:r w:rsidR="00CB2E01"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77 640 43 55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ind w:left="113" w:right="57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EA7DCB" w:rsidRPr="00DE3E89" w:rsidRDefault="00DD7DD9" w:rsidP="00DD7DD9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</w:t>
            </w:r>
            <w:r w:rsidR="00CB2E01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Enregistrement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</w:t>
            </w:r>
            <w:r w:rsidR="00CB2E01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audio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sont</w:t>
            </w:r>
            <w:r w:rsidR="00CB2E01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disponibles au centre culturel régional de Matam et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sont </w:t>
            </w:r>
            <w:r w:rsidR="00CB2E01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transmise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 </w:t>
            </w:r>
            <w:r w:rsidR="00CB2E01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à la Direction du patrimoine.</w:t>
            </w:r>
          </w:p>
        </w:tc>
      </w:tr>
      <w:tr w:rsidR="00C92ED6" w:rsidRPr="00F15CC3" w:rsidTr="00971D6F">
        <w:tc>
          <w:tcPr>
            <w:tcW w:w="567" w:type="dxa"/>
            <w:shd w:val="clear" w:color="auto" w:fill="auto"/>
          </w:tcPr>
          <w:p w:rsidR="00C92ED6" w:rsidRPr="00F15CC3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F15CC3">
              <w:rPr>
                <w:sz w:val="20"/>
                <w:szCs w:val="20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EA7DCB" w:rsidRPr="00F15CC3" w:rsidRDefault="00C92ED6" w:rsidP="00EA7DCB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F15CC3">
              <w:rPr>
                <w:snapToGrid/>
                <w:sz w:val="20"/>
                <w:szCs w:val="20"/>
                <w:lang w:val="fr-FR" w:eastAsia="fr-FR"/>
              </w:rPr>
              <w:t>Date d’enregistrement des données à l’inventaire</w:t>
            </w:r>
            <w:r w:rsidR="00EA7DCB" w:rsidRPr="00F15CC3">
              <w:rPr>
                <w:snapToGrid/>
                <w:sz w:val="20"/>
                <w:szCs w:val="20"/>
                <w:lang w:val="fr-FR" w:eastAsia="fr-FR"/>
              </w:rPr>
              <w:t xml:space="preserve">        </w:t>
            </w:r>
            <w:r w:rsidR="00EA7DCB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07 /05 / 2019</w:t>
            </w:r>
          </w:p>
        </w:tc>
      </w:tr>
    </w:tbl>
    <w:p w:rsidR="0043665E" w:rsidRPr="00F15CC3" w:rsidRDefault="0043665E" w:rsidP="00F631BE">
      <w:pPr>
        <w:pStyle w:val="Texte1"/>
        <w:rPr>
          <w:szCs w:val="20"/>
        </w:rPr>
      </w:pPr>
    </w:p>
    <w:sectPr w:rsidR="0043665E" w:rsidRPr="00F15CC3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FC" w:rsidRDefault="009566FC" w:rsidP="0043665E">
      <w:pPr>
        <w:spacing w:before="0" w:after="0"/>
      </w:pPr>
      <w:r>
        <w:separator/>
      </w:r>
    </w:p>
  </w:endnote>
  <w:endnote w:type="continuationSeparator" w:id="0">
    <w:p w:rsidR="009566FC" w:rsidRDefault="009566FC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FC" w:rsidRDefault="009566FC" w:rsidP="0043665E">
      <w:pPr>
        <w:spacing w:before="0" w:after="0"/>
      </w:pPr>
      <w:r>
        <w:separator/>
      </w:r>
    </w:p>
  </w:footnote>
  <w:footnote w:type="continuationSeparator" w:id="0">
    <w:p w:rsidR="009566FC" w:rsidRDefault="009566FC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B4929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B4929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EE412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16"/>
  </w:num>
  <w:num w:numId="21">
    <w:abstractNumId w:val="17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172A30"/>
    <w:rsid w:val="00182DE5"/>
    <w:rsid w:val="00184690"/>
    <w:rsid w:val="00194DD7"/>
    <w:rsid w:val="00246FD2"/>
    <w:rsid w:val="0026188F"/>
    <w:rsid w:val="00284583"/>
    <w:rsid w:val="002C5D8E"/>
    <w:rsid w:val="003342CA"/>
    <w:rsid w:val="00342E35"/>
    <w:rsid w:val="003D0224"/>
    <w:rsid w:val="00423325"/>
    <w:rsid w:val="0043665E"/>
    <w:rsid w:val="00472169"/>
    <w:rsid w:val="00490480"/>
    <w:rsid w:val="005732C3"/>
    <w:rsid w:val="005914A0"/>
    <w:rsid w:val="005A1814"/>
    <w:rsid w:val="005B5324"/>
    <w:rsid w:val="005D395D"/>
    <w:rsid w:val="0060566B"/>
    <w:rsid w:val="00660044"/>
    <w:rsid w:val="00670B71"/>
    <w:rsid w:val="006942BD"/>
    <w:rsid w:val="007254B2"/>
    <w:rsid w:val="00745CA3"/>
    <w:rsid w:val="00782E2F"/>
    <w:rsid w:val="007A32E6"/>
    <w:rsid w:val="007D3D1C"/>
    <w:rsid w:val="007D66AD"/>
    <w:rsid w:val="007E14A5"/>
    <w:rsid w:val="0086313E"/>
    <w:rsid w:val="00880E45"/>
    <w:rsid w:val="008D718D"/>
    <w:rsid w:val="00904171"/>
    <w:rsid w:val="00950DEB"/>
    <w:rsid w:val="009566FC"/>
    <w:rsid w:val="00972F71"/>
    <w:rsid w:val="0099595A"/>
    <w:rsid w:val="009B4E97"/>
    <w:rsid w:val="009F5718"/>
    <w:rsid w:val="00A06BCB"/>
    <w:rsid w:val="00A16589"/>
    <w:rsid w:val="00A24EC1"/>
    <w:rsid w:val="00A57FDF"/>
    <w:rsid w:val="00AB4929"/>
    <w:rsid w:val="00AC3A27"/>
    <w:rsid w:val="00B45F43"/>
    <w:rsid w:val="00BB3CF0"/>
    <w:rsid w:val="00BC79D7"/>
    <w:rsid w:val="00BF6868"/>
    <w:rsid w:val="00C13746"/>
    <w:rsid w:val="00C17481"/>
    <w:rsid w:val="00C203FD"/>
    <w:rsid w:val="00C92ED6"/>
    <w:rsid w:val="00CB2E01"/>
    <w:rsid w:val="00D047CC"/>
    <w:rsid w:val="00D11FA6"/>
    <w:rsid w:val="00DD7DD9"/>
    <w:rsid w:val="00DE3E89"/>
    <w:rsid w:val="00E20A38"/>
    <w:rsid w:val="00E948A2"/>
    <w:rsid w:val="00EA25CD"/>
    <w:rsid w:val="00EA348C"/>
    <w:rsid w:val="00EA7DCB"/>
    <w:rsid w:val="00EE3646"/>
    <w:rsid w:val="00EE38CE"/>
    <w:rsid w:val="00EE4121"/>
    <w:rsid w:val="00F0224D"/>
    <w:rsid w:val="00F046D0"/>
    <w:rsid w:val="00F15CC3"/>
    <w:rsid w:val="00F25AE7"/>
    <w:rsid w:val="00F355F4"/>
    <w:rsid w:val="00F631BE"/>
    <w:rsid w:val="00FC787A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B6E5DC-387B-41DD-9FA4-008D9E3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C551-622F-4F5E-8224-0E6EFA43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cp:lastPrinted>2019-05-07T11:05:00Z</cp:lastPrinted>
  <dcterms:created xsi:type="dcterms:W3CDTF">2019-05-24T15:11:00Z</dcterms:created>
  <dcterms:modified xsi:type="dcterms:W3CDTF">2019-05-24T15:11:00Z</dcterms:modified>
</cp:coreProperties>
</file>