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B2" w:rsidRPr="00FB6807" w:rsidRDefault="00FD4CB2" w:rsidP="00FD4CB2">
      <w:pPr>
        <w:pStyle w:val="Titre4"/>
        <w:spacing w:before="100" w:beforeAutospacing="1" w:after="100" w:afterAutospacing="1" w:line="240" w:lineRule="auto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FICHE TYPE D’INVENTAIRE DU PCI</w:t>
      </w:r>
    </w:p>
    <w:p w:rsidR="00FD4CB2" w:rsidRDefault="00FD4CB2" w:rsidP="00FD4CB2">
      <w:pPr>
        <w:spacing w:before="100" w:beforeAutospacing="1" w:after="100" w:afterAutospacing="1"/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>
        <w:rPr>
          <w:b/>
          <w:lang w:val="fr-FR"/>
        </w:rPr>
        <w:t>Tambacounda</w:t>
      </w:r>
    </w:p>
    <w:p w:rsidR="00FD4CB2" w:rsidRPr="00F355F4" w:rsidRDefault="00FD4CB2" w:rsidP="00FD4CB2">
      <w:pPr>
        <w:spacing w:before="100" w:beforeAutospacing="1" w:after="100" w:afterAutospacing="1"/>
        <w:rPr>
          <w:b/>
          <w:lang w:val="fr-FR"/>
        </w:rPr>
      </w:pPr>
      <w:r>
        <w:rPr>
          <w:b/>
          <w:lang w:val="fr-FR"/>
        </w:rPr>
        <w:t>DEPARTEMENT : Tambacounda</w:t>
      </w:r>
    </w:p>
    <w:p w:rsidR="00FD4CB2" w:rsidRDefault="00FD4CB2" w:rsidP="00FD4CB2">
      <w:pPr>
        <w:pStyle w:val="Titre4"/>
        <w:spacing w:before="100" w:beforeAutospacing="1" w:after="100" w:afterAutospacing="1" w:line="240" w:lineRule="auto"/>
      </w:pPr>
      <w:r>
        <w:t>Numero de la fiche : 03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FD4CB2" w:rsidRPr="00214C1E" w:rsidTr="00B830D9">
        <w:tc>
          <w:tcPr>
            <w:tcW w:w="567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FD4CB2" w:rsidRPr="007254B2" w:rsidRDefault="00FD4CB2" w:rsidP="00B830D9">
            <w:pPr>
              <w:pStyle w:val="Tabtxt"/>
              <w:keepNext w:val="0"/>
              <w:spacing w:before="120" w:after="100" w:afterAutospacing="1" w:line="240" w:lineRule="auto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SOGONI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</w:p>
          <w:p w:rsidR="00FD4CB2" w:rsidRPr="004A48E8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SOGONI</w:t>
            </w:r>
            <w:r w:rsidR="004A48E8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4A48E8" w:rsidRPr="004A48E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(</w:t>
            </w:r>
            <w:r w:rsidR="004A48E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Titre </w:t>
            </w:r>
            <w:proofErr w:type="gramStart"/>
            <w:r w:rsidR="004A48E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:</w:t>
            </w:r>
            <w:r w:rsidR="00B34A4B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ensemble</w:t>
            </w:r>
            <w:proofErr w:type="gramEnd"/>
            <w:r w:rsidR="00B34A4B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de </w:t>
            </w:r>
            <w:r w:rsidR="004A48E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masques des communautés mandingue et bambara de Dar El Salam)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214C1E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FD4CB2" w:rsidRPr="000A2921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402136">
              <w:rPr>
                <w:snapToGrid/>
                <w:sz w:val="18"/>
                <w:szCs w:val="18"/>
                <w:lang w:val="fr-FR" w:eastAsia="fr-FR"/>
              </w:rPr>
              <w:t>Communauté</w:t>
            </w:r>
            <w:r w:rsidRPr="000A2921">
              <w:rPr>
                <w:snapToGrid/>
                <w:sz w:val="18"/>
                <w:szCs w:val="18"/>
                <w:lang w:val="fr-FR" w:eastAsia="fr-FR"/>
              </w:rPr>
              <w:t>(s) concernée(s)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Communauté  Mandingue, Bambara de  Dar El Salam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214C1E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  <w:t xml:space="preserve">1.4  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</w:p>
          <w:p w:rsidR="00B34A4B" w:rsidRPr="003274B5" w:rsidRDefault="00B34A4B" w:rsidP="00B830D9">
            <w:pPr>
              <w:spacing w:after="100" w:afterAutospacing="1"/>
              <w:jc w:val="left"/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</w:pPr>
            <w:r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L’élément </w:t>
            </w:r>
            <w:proofErr w:type="spellStart"/>
            <w:r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Sogoni</w:t>
            </w:r>
            <w:proofErr w:type="spellEnd"/>
            <w:r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est pratiqué dans la région de Tambacounda</w:t>
            </w:r>
            <w:r w:rsidR="003274B5"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chez les communautés mandingues et bambara. Le présent inventaire s’est intéressé aux pratiques du </w:t>
            </w:r>
            <w:proofErr w:type="spellStart"/>
            <w:r w:rsidR="003274B5"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Sogoni</w:t>
            </w:r>
            <w:proofErr w:type="spellEnd"/>
            <w:r w:rsidR="003274B5"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dans le village de Dar El Salam, situé dans le département de </w:t>
            </w:r>
            <w:proofErr w:type="gramStart"/>
            <w:r w:rsidR="003274B5"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…….,</w:t>
            </w:r>
            <w:proofErr w:type="gramEnd"/>
            <w:r w:rsidR="003274B5"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Région de Tambacounda.</w:t>
            </w:r>
          </w:p>
          <w:p w:rsidR="003274B5" w:rsidRPr="003274B5" w:rsidRDefault="003274B5" w:rsidP="00B830D9">
            <w:pPr>
              <w:spacing w:after="100" w:afterAutospacing="1"/>
              <w:jc w:val="left"/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</w:pPr>
            <w:r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On peut aussi retrouver l’élément dans les …..(indiquer les régions ou terroirs où l’on peut retrouver l’élément sans donner de détails.</w:t>
            </w:r>
          </w:p>
          <w:p w:rsidR="00FD4CB2" w:rsidRPr="00C656AF" w:rsidRDefault="00FD4CB2" w:rsidP="00B830D9">
            <w:pPr>
              <w:spacing w:after="100" w:afterAutospacing="1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En brousse, à l’extérieur du village.  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La pratique se fait par trois ans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(</w:t>
            </w:r>
            <w:proofErr w:type="gramStart"/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triennal</w:t>
            </w:r>
            <w:proofErr w:type="gram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).</w:t>
            </w:r>
          </w:p>
          <w:p w:rsidR="00FD4CB2" w:rsidRPr="00C92ED6" w:rsidRDefault="00FD4CB2" w:rsidP="00B830D9">
            <w:pPr>
              <w:spacing w:after="100" w:afterAutospacing="1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35120D" w:rsidTr="00B830D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</w:p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Le </w:t>
            </w:r>
            <w:r w:rsidRPr="000A3A99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SOGONI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est un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e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nsemble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de masque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s mythiques et mystiques. On peut compter un vingtaine de masques parmi lesquel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s on peut citer : </w:t>
            </w:r>
            <w:proofErr w:type="spellStart"/>
            <w:r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pé</w:t>
            </w:r>
            <w:r w:rsidRPr="000A3A99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ring</w:t>
            </w:r>
            <w:proofErr w:type="spellEnd"/>
            <w:r w:rsidRPr="000A3A99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pé</w:t>
            </w:r>
            <w:r w:rsidRPr="000A3A99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ringning</w:t>
            </w:r>
            <w:proofErr w:type="spellEnd"/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Pr="000A3A99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Kalakadaning</w:t>
            </w:r>
            <w:proofErr w:type="spellEnd"/>
            <w:r w:rsidRPr="000A3A99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 xml:space="preserve">.  </w:t>
            </w:r>
            <w:proofErr w:type="spellStart"/>
            <w:r w:rsidRPr="000A3A99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Daghe</w:t>
            </w:r>
            <w:proofErr w:type="spellEnd"/>
            <w:r w:rsidRPr="000A3A99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 xml:space="preserve"> Sara, </w:t>
            </w:r>
            <w:proofErr w:type="spellStart"/>
            <w:r w:rsidRPr="000A3A99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MinangDia</w:t>
            </w:r>
            <w:r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mba</w:t>
            </w:r>
            <w:proofErr w:type="spellEnd"/>
            <w:r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 xml:space="preserve">, Bamba Ba, </w:t>
            </w:r>
            <w:proofErr w:type="spellStart"/>
            <w:r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waraba</w:t>
            </w:r>
            <w:proofErr w:type="spellEnd"/>
            <w:r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Niakhaléb</w:t>
            </w:r>
            <w:r w:rsidRPr="000A3A99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a</w:t>
            </w:r>
            <w:proofErr w:type="spellEnd"/>
            <w:r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, etc</w:t>
            </w:r>
            <w:proofErr w:type="gramStart"/>
            <w:r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.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.</w:t>
            </w:r>
            <w:proofErr w:type="gramEnd"/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C’est un 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PCI réservé qu’aux initiés. M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ais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,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à sa sortie tout le monde p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eut le voir.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Le </w:t>
            </w: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sogoni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sort toujours la nuit (sortie nocturne)</w:t>
            </w:r>
            <w:r w:rsidR="003274B5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3274B5"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(quels initiés ? Hommes ou femmes ?</w:t>
            </w:r>
            <w:r w:rsidR="003274B5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3274B5"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quelle est la nature de l’élément ? </w:t>
            </w:r>
          </w:p>
          <w:p w:rsidR="00FD4CB2" w:rsidRPr="0061014A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Le porteur, qui est membre de la communauté </w:t>
            </w:r>
            <w:r w:rsidRPr="0061014A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est 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inconnu du public. Cependant</w:t>
            </w:r>
            <w:r w:rsidRPr="0061014A">
              <w:rPr>
                <w:snapToGrid/>
                <w:color w:val="FF0000"/>
                <w:sz w:val="18"/>
                <w:szCs w:val="18"/>
                <w:lang w:val="fr-FR" w:eastAsia="fr-FR"/>
              </w:rPr>
              <w:t>, toute la communauté participe à la fête.</w:t>
            </w:r>
          </w:p>
        </w:tc>
      </w:tr>
      <w:tr w:rsidR="00FD4CB2" w:rsidRPr="00214C1E" w:rsidTr="00B830D9">
        <w:tc>
          <w:tcPr>
            <w:tcW w:w="567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8283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FD4CB2" w:rsidRPr="00214C1E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FD4CB2" w:rsidRPr="00C656AF" w:rsidRDefault="00FD4CB2" w:rsidP="00B830D9">
            <w:pPr>
              <w:spacing w:after="100" w:afterAutospacing="1"/>
              <w:ind w:left="113" w:righ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Communauté de jeunes initiés, le porteur est un élément caché.</w:t>
            </w:r>
            <w:r w:rsidR="003274B5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3274B5"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(indication d’âge très utile</w:t>
            </w:r>
            <w:r w:rsid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. Merci de développer par des phrases complètes pour mieux structurer la réponse et présenter l’information de sorte à faciliter la compréhension </w:t>
            </w:r>
            <w:r w:rsidR="001A6D3E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à tout lecteur de la fiche : congolais français asiatique)</w:t>
            </w:r>
            <w:r w:rsidR="003274B5" w:rsidRPr="003274B5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)</w:t>
            </w:r>
          </w:p>
        </w:tc>
      </w:tr>
      <w:tr w:rsidR="00FD4CB2" w:rsidRPr="00214C1E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2.2.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FD4CB2" w:rsidRPr="00C656AF" w:rsidRDefault="00FD4CB2" w:rsidP="00B830D9">
            <w:pPr>
              <w:spacing w:after="100" w:afterAutospacing="1"/>
              <w:ind w:left="113" w:righ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Les femmes, les jeunes et les adultes</w:t>
            </w:r>
            <w:r w:rsidR="001A6D3E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. </w:t>
            </w:r>
            <w:r w:rsidR="001A6D3E" w:rsidRPr="001A6D3E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Comment leur implication est déterminée</w:t>
            </w:r>
            <w:r w:rsidR="001A6D3E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 ? Quel est le processus, les costumes et autres accessoires en usage ?</w:t>
            </w:r>
          </w:p>
          <w:p w:rsidR="00FD4CB2" w:rsidRPr="00C92ED6" w:rsidRDefault="00FD4CB2" w:rsidP="00B830D9">
            <w:pPr>
              <w:spacing w:after="100" w:afterAutospacing="1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Bambara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Djémbé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, flû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te, paille</w:t>
            </w:r>
            <w:r w:rsidR="001A6D3E" w:rsidRPr="001A6D3E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. (merci de caractériser les éléments matériels  associés à la recréation </w:t>
            </w:r>
            <w:r w:rsidR="001A6D3E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du </w:t>
            </w:r>
            <w:proofErr w:type="spellStart"/>
            <w:r w:rsidR="001A6D3E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Sogoni</w:t>
            </w:r>
            <w:proofErr w:type="spellEnd"/>
            <w:r w:rsidR="001A6D3E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. Toujours construire des phrases structurer en lieu et place du style télégramme sms ou télégraphique qui ne participent à la bonne représentation des données d’informations que </w:t>
            </w:r>
            <w:proofErr w:type="gramStart"/>
            <w:r w:rsidR="001A6D3E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la communautés</w:t>
            </w:r>
            <w:proofErr w:type="gramEnd"/>
            <w:r w:rsidR="001A6D3E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a abondamment fournis)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Chants, danses, musiques</w:t>
            </w:r>
            <w:r w:rsidR="001A6D3E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1A6D3E" w:rsidRPr="001A6D3E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(même remarques précédentes)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Divination, Sacrifices</w:t>
            </w:r>
            <w:r w:rsidR="00FE2CB3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FE2CB3" w:rsidRP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(remarques idem)</w:t>
            </w:r>
          </w:p>
        </w:tc>
      </w:tr>
      <w:tr w:rsidR="00FD4CB2" w:rsidRPr="00FD4CB2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Elle se fait avec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l’autorisation familiale  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pour les 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jeunes 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âgés de 10 à 16 ans.</w:t>
            </w:r>
            <w:r w:rsidR="00FE2CB3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FE2CB3" w:rsidRP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(Mais comment est organisé le processus, sa périodicité, les intervenants et les circuits au besoin)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FD4CB2" w:rsidTr="00B830D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Cotisation des membres, contribution en nature repas ou 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en </w:t>
            </w: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eau.</w:t>
            </w:r>
            <w:r w:rsidR="00FE2CB3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proofErr w:type="gramStart"/>
            <w:r w:rsidR="00FE2CB3" w:rsidRP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( sans</w:t>
            </w:r>
            <w:proofErr w:type="gramEnd"/>
            <w:r w:rsidR="00FE2CB3" w:rsidRP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phrases structurées personne en dehors de l’équipe d’inventaire ne pourra s’approprier les informations de la fiche)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FD4CB2" w:rsidTr="00B830D9">
        <w:tc>
          <w:tcPr>
            <w:tcW w:w="567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FD4CB2" w:rsidRPr="00FE2CB3" w:rsidRDefault="00FD4CB2" w:rsidP="00B830D9">
            <w:pPr>
              <w:spacing w:after="100" w:afterAutospacing="1"/>
              <w:ind w:left="113" w:right="57"/>
              <w:jc w:val="left"/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OUI</w:t>
            </w:r>
          </w:p>
          <w:p w:rsidR="00FD4CB2" w:rsidRPr="00C92ED6" w:rsidRDefault="00FE2CB3" w:rsidP="00B830D9">
            <w:pPr>
              <w:spacing w:after="100" w:afterAutospacing="1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FE2CB3">
              <w:rPr>
                <w:b/>
                <w:bCs/>
                <w:color w:val="4472C4" w:themeColor="accent5"/>
                <w:kern w:val="28"/>
                <w:sz w:val="18"/>
                <w:szCs w:val="18"/>
                <w:lang w:val="fr-FR" w:eastAsia="fr-FR"/>
              </w:rPr>
              <w:t>il faut présenter clairement les menaces et bien les caractériser</w:t>
            </w:r>
            <w:r>
              <w:rPr>
                <w:b/>
                <w:bCs/>
                <w:color w:val="4472C4" w:themeColor="accent5"/>
                <w:kern w:val="28"/>
                <w:sz w:val="18"/>
                <w:szCs w:val="18"/>
                <w:lang w:val="fr-FR" w:eastAsia="fr-FR"/>
              </w:rPr>
              <w:t>.</w:t>
            </w: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</w:p>
          <w:p w:rsidR="00FD4CB2" w:rsidRPr="00FE2CB3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</w:pPr>
            <w:r w:rsidRP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lastRenderedPageBreak/>
              <w:t>Menaces possibles : l’école</w:t>
            </w:r>
            <w:r w:rsidR="00FE2CB3" w:rsidRP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. (toujours bien caractériser l’information pour donner sens compréhensible par tous aux éléments de réponses donnés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FD4CB2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3.3.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FD4CB2" w:rsidRPr="00FE2CB3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La paille et le même matériel</w:t>
            </w:r>
            <w:r w:rsidR="00FE2CB3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. </w:t>
            </w:r>
            <w:r w:rsidR="00FE2CB3" w:rsidRP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(merci de développer par des phrases complètes et explicites</w:t>
            </w:r>
            <w:r w:rsid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. Exploiter au maximum les données enregistrées pour satisfaire le renseignement des cases</w:t>
            </w:r>
            <w:r w:rsidR="00FE2CB3" w:rsidRP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)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Transmission et organisation</w:t>
            </w:r>
            <w:r w:rsidR="00FE2CB3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. </w:t>
            </w:r>
            <w:r w:rsidR="00FE2CB3" w:rsidRP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(penser toujours à moi et au congolais qui va lire la fiche</w:t>
            </w:r>
            <w:r w:rsidR="005770B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. Nous n’en savons rien et n’étions sur le terrain avec l’équipe de collecte</w:t>
            </w:r>
            <w:r w:rsidR="00FE2CB3" w:rsidRPr="00FE2CB3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)</w:t>
            </w:r>
          </w:p>
          <w:p w:rsidR="00FD4CB2" w:rsidRPr="00C92ED6" w:rsidRDefault="00FD4CB2" w:rsidP="00B830D9">
            <w:pPr>
              <w:spacing w:after="100" w:afterAutospacing="1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FD4CB2" w:rsidTr="00B830D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Transmission et organisation avec l’implication des vieux</w:t>
            </w:r>
            <w:r w:rsidR="005770B8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(</w:t>
            </w:r>
            <w:r w:rsidR="005770B8" w:rsidRPr="005770B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remarques idem)</w:t>
            </w:r>
          </w:p>
          <w:p w:rsidR="00FD4CB2" w:rsidRPr="00FB6807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FD4CB2" w:rsidRPr="00FD4CB2" w:rsidTr="00B830D9">
        <w:tc>
          <w:tcPr>
            <w:tcW w:w="567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 xml:space="preserve">ACCES RESTREINT AUX DONNEES ET AUTORISATIONS </w:t>
            </w: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</w:p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OUI</w:t>
            </w:r>
            <w:r w:rsidR="005770B8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/ </w:t>
            </w:r>
            <w:r w:rsidR="005770B8" w:rsidRPr="005770B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le consentement libre et éclairé a été obtenu et recueilli par un enregistrement audio ou une</w:t>
            </w:r>
            <w:r w:rsidR="0070019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lettre de consentement signée.</w:t>
            </w:r>
            <w:bookmarkStart w:id="0" w:name="_GoBack"/>
            <w:bookmarkEnd w:id="0"/>
          </w:p>
          <w:p w:rsidR="00700198" w:rsidRPr="005770B8" w:rsidRDefault="00700198" w:rsidP="00B830D9">
            <w:pPr>
              <w:spacing w:after="100" w:afterAutospacing="1"/>
              <w:ind w:left="113"/>
              <w:jc w:val="left"/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L’inventaire a été réalisé grâce à la participation des notables et responsables de la communauté dont M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FD4CB2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  <w:p w:rsidR="005770B8" w:rsidRPr="00C92ED6" w:rsidRDefault="005770B8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EX : </w:t>
            </w:r>
            <w:r w:rsidRPr="005770B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La communauté nous autorise à utiliser les données recueillies dans les limites objectives des informations qu’elles ont partagées sans jamais les déformer. Par conséquent, </w:t>
            </w:r>
            <w:proofErr w:type="gramStart"/>
            <w:r w:rsidRPr="005770B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elle nous ont</w:t>
            </w:r>
            <w:proofErr w:type="gramEnd"/>
            <w:r w:rsidRPr="005770B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autorisé à faire usages des données recueillies pour les fins scientifiques annoncées, les activités de promotion ou de classement….</w:t>
            </w:r>
          </w:p>
        </w:tc>
      </w:tr>
      <w:tr w:rsidR="00FD4CB2" w:rsidRPr="00FD4CB2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Personne(s) ressource(s) : nom et statut </w:t>
            </w:r>
          </w:p>
          <w:p w:rsidR="005770B8" w:rsidRPr="00C92ED6" w:rsidRDefault="005770B8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D77B10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Il faut nécessairement</w:t>
            </w:r>
            <w:r w:rsidR="00D77B10" w:rsidRPr="00D77B10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 xml:space="preserve"> mentionner les personnes ressources et indiquer leur profil, statut ou contacts au besoin</w:t>
            </w:r>
          </w:p>
        </w:tc>
      </w:tr>
      <w:tr w:rsidR="00FD4CB2" w:rsidRPr="00FD4CB2" w:rsidTr="00B830D9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</w:p>
          <w:p w:rsidR="00700198" w:rsidRPr="00C92ED6" w:rsidRDefault="00700198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0019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O</w:t>
            </w:r>
            <w:r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bligato</w:t>
            </w:r>
            <w:r w:rsidRPr="0070019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i</w:t>
            </w:r>
            <w:r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r</w:t>
            </w:r>
            <w:r w:rsidRPr="0070019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ement</w:t>
            </w:r>
          </w:p>
        </w:tc>
      </w:tr>
      <w:tr w:rsidR="00FD4CB2" w:rsidRPr="00FD4CB2" w:rsidTr="00B830D9">
        <w:tc>
          <w:tcPr>
            <w:tcW w:w="567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FD4CB2" w:rsidRPr="00A16589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A16589">
              <w:rPr>
                <w:snapToGrid/>
                <w:sz w:val="18"/>
                <w:szCs w:val="18"/>
                <w:lang w:val="fr-FR" w:eastAsia="fr-FR"/>
              </w:rPr>
              <w:t>Monographies / Manuscrits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NON</w:t>
            </w:r>
            <w:r w:rsidR="00700198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/ </w:t>
            </w:r>
            <w:r w:rsidR="00700198" w:rsidRPr="0070019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aucune info disponible à ce jour</w:t>
            </w: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</w:p>
          <w:p w:rsidR="00FD4CB2" w:rsidRPr="00700198" w:rsidRDefault="00FD4CB2" w:rsidP="00B830D9">
            <w:pPr>
              <w:spacing w:after="100" w:afterAutospacing="1"/>
              <w:ind w:left="113"/>
              <w:jc w:val="left"/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lastRenderedPageBreak/>
              <w:t>NON</w:t>
            </w:r>
            <w:r w:rsidR="00700198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/ </w:t>
            </w:r>
            <w:r w:rsidR="00700198" w:rsidRPr="00700198">
              <w:rPr>
                <w:snapToGrid/>
                <w:color w:val="4472C4" w:themeColor="accent5"/>
                <w:sz w:val="18"/>
                <w:szCs w:val="18"/>
                <w:lang w:val="fr-FR" w:eastAsia="fr-FR"/>
              </w:rPr>
              <w:t>aucune info disponible à ce jour</w:t>
            </w:r>
          </w:p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5.3.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O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</w:p>
          <w:p w:rsidR="00FD4CB2" w:rsidRPr="00C656AF" w:rsidRDefault="00FD4CB2" w:rsidP="00B830D9">
            <w:pPr>
              <w:spacing w:after="100" w:afterAutospacing="1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NON</w:t>
            </w:r>
          </w:p>
        </w:tc>
      </w:tr>
      <w:tr w:rsidR="00FD4CB2" w:rsidRPr="00C92ED6" w:rsidTr="00B830D9">
        <w:tc>
          <w:tcPr>
            <w:tcW w:w="567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:rsidR="00FD4CB2" w:rsidRPr="00C92ED6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FD4CB2" w:rsidRPr="00FD4CB2" w:rsidTr="00B830D9">
        <w:tc>
          <w:tcPr>
            <w:tcW w:w="567" w:type="dxa"/>
            <w:shd w:val="clear" w:color="auto" w:fill="auto"/>
          </w:tcPr>
          <w:p w:rsidR="00FD4CB2" w:rsidRPr="00C656AF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656AF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656AF">
              <w:rPr>
                <w:snapToGrid/>
                <w:sz w:val="18"/>
                <w:szCs w:val="18"/>
                <w:lang w:val="fr-FR" w:eastAsia="fr-FR"/>
              </w:rPr>
              <w:t>Nom et contacts de la personne(s) ayant compilé les données de l’inventaire</w:t>
            </w:r>
          </w:p>
          <w:p w:rsidR="00FD4CB2" w:rsidRDefault="00FD4CB2" w:rsidP="00FD4CB2">
            <w:pPr>
              <w:pStyle w:val="Paragraphedeliste"/>
              <w:numPr>
                <w:ilvl w:val="0"/>
                <w:numId w:val="1"/>
              </w:numPr>
              <w:spacing w:before="0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Abdourahmane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Diallo….. 77 426 16 14</w:t>
            </w:r>
          </w:p>
          <w:p w:rsidR="00FD4CB2" w:rsidRDefault="00FD4CB2" w:rsidP="00FD4CB2">
            <w:pPr>
              <w:pStyle w:val="Paragraphedeliste"/>
              <w:numPr>
                <w:ilvl w:val="0"/>
                <w:numId w:val="1"/>
              </w:numPr>
              <w:spacing w:before="0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Babacar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Dabo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……………78 482 22 10</w:t>
            </w:r>
          </w:p>
          <w:p w:rsidR="00FD4CB2" w:rsidRDefault="00FD4CB2" w:rsidP="00FD4CB2">
            <w:pPr>
              <w:pStyle w:val="Paragraphedeliste"/>
              <w:numPr>
                <w:ilvl w:val="0"/>
                <w:numId w:val="1"/>
              </w:numPr>
              <w:spacing w:before="0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Demba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Ndiaye………….. 77 805 40 14</w:t>
            </w:r>
          </w:p>
          <w:p w:rsidR="00FD4CB2" w:rsidRDefault="00FD4CB2" w:rsidP="00FD4CB2">
            <w:pPr>
              <w:pStyle w:val="Paragraphedeliste"/>
              <w:numPr>
                <w:ilvl w:val="0"/>
                <w:numId w:val="1"/>
              </w:numPr>
              <w:spacing w:before="0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Mori </w:t>
            </w: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Diané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………………..77 546 94 76</w:t>
            </w:r>
          </w:p>
          <w:p w:rsidR="00FD4CB2" w:rsidRDefault="00FD4CB2" w:rsidP="00FD4CB2">
            <w:pPr>
              <w:pStyle w:val="Paragraphedeliste"/>
              <w:numPr>
                <w:ilvl w:val="0"/>
                <w:numId w:val="1"/>
              </w:numPr>
              <w:spacing w:before="0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Souleymane Diarra………78 018 85 01</w:t>
            </w:r>
          </w:p>
          <w:p w:rsidR="00FD4CB2" w:rsidRPr="00700198" w:rsidRDefault="00FD4CB2" w:rsidP="00B830D9">
            <w:pPr>
              <w:spacing w:before="0"/>
              <w:jc w:val="left"/>
              <w:rPr>
                <w:strike/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700198">
              <w:rPr>
                <w:strike/>
                <w:snapToGrid/>
                <w:color w:val="FF0000"/>
                <w:sz w:val="18"/>
                <w:szCs w:val="18"/>
                <w:lang w:val="fr-FR" w:eastAsia="fr-FR"/>
              </w:rPr>
              <w:t>Sous la supervision de Dr Massamba Gueye, Référent</w:t>
            </w:r>
          </w:p>
          <w:p w:rsidR="00FD4CB2" w:rsidRPr="00C656AF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FD4CB2" w:rsidRPr="00FD4CB2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172A30">
              <w:rPr>
                <w:snapToGrid/>
                <w:sz w:val="18"/>
                <w:szCs w:val="18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  <w:p w:rsidR="00FD4CB2" w:rsidRPr="00BE7AEC" w:rsidRDefault="00FD4CB2" w:rsidP="00B830D9">
            <w:pPr>
              <w:spacing w:after="100" w:afterAutospacing="1"/>
              <w:ind w:left="113" w:right="57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BE7AEC">
              <w:rPr>
                <w:snapToGrid/>
                <w:color w:val="FF0000"/>
                <w:sz w:val="18"/>
                <w:szCs w:val="18"/>
                <w:lang w:val="fr-FR" w:eastAsia="fr-FR"/>
              </w:rPr>
              <w:t>Remise de colas, du thé et du sucre. Consentement avec signature de la fiche.</w:t>
            </w:r>
          </w:p>
        </w:tc>
      </w:tr>
      <w:tr w:rsidR="00FD4CB2" w:rsidRPr="00A06BCB" w:rsidTr="00B830D9">
        <w:tc>
          <w:tcPr>
            <w:tcW w:w="567" w:type="dxa"/>
            <w:shd w:val="clear" w:color="auto" w:fill="auto"/>
          </w:tcPr>
          <w:p w:rsidR="00FD4CB2" w:rsidRPr="00C92ED6" w:rsidRDefault="00FD4CB2" w:rsidP="00B830D9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FD4CB2" w:rsidRDefault="00FD4CB2" w:rsidP="00B830D9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  <w:p w:rsidR="00FD4CB2" w:rsidRPr="00BE7AEC" w:rsidRDefault="00FD4CB2" w:rsidP="00B830D9">
            <w:pPr>
              <w:spacing w:after="100" w:afterAutospacing="1"/>
              <w:ind w:left="113"/>
              <w:jc w:val="left"/>
              <w:rPr>
                <w:b/>
                <w:bCs/>
                <w:caps/>
                <w:color w:val="FF0000"/>
                <w:kern w:val="28"/>
                <w:lang w:val="fr-FR" w:eastAsia="fr-FR"/>
              </w:rPr>
            </w:pPr>
            <w:r w:rsidRPr="00BE7AEC">
              <w:rPr>
                <w:b/>
                <w:snapToGrid/>
                <w:color w:val="FF0000"/>
                <w:szCs w:val="22"/>
                <w:lang w:val="fr-FR" w:eastAsia="fr-FR"/>
              </w:rPr>
              <w:t>23 /04/2019</w:t>
            </w:r>
          </w:p>
        </w:tc>
      </w:tr>
    </w:tbl>
    <w:p w:rsidR="00CC5B13" w:rsidRDefault="00CC5B13"/>
    <w:sectPr w:rsidR="00CC5B13" w:rsidSect="00863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7C" w:rsidRDefault="00F0147C">
      <w:pPr>
        <w:spacing w:before="0" w:after="0"/>
      </w:pPr>
      <w:r>
        <w:separator/>
      </w:r>
    </w:p>
  </w:endnote>
  <w:endnote w:type="continuationSeparator" w:id="0">
    <w:p w:rsidR="00F0147C" w:rsidRDefault="00F014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F0147C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FD4CB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F0147C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7C" w:rsidRDefault="00F0147C">
      <w:pPr>
        <w:spacing w:before="0" w:after="0"/>
      </w:pPr>
      <w:r>
        <w:separator/>
      </w:r>
    </w:p>
  </w:footnote>
  <w:footnote w:type="continuationSeparator" w:id="0">
    <w:p w:rsidR="00F0147C" w:rsidRDefault="00F0147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FD4CB2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FD4CB2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700198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FD4CB2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4C0"/>
    <w:multiLevelType w:val="hybridMultilevel"/>
    <w:tmpl w:val="6D524A0C"/>
    <w:lvl w:ilvl="0" w:tplc="DC00713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2"/>
    <w:rsid w:val="00084669"/>
    <w:rsid w:val="000D2FF2"/>
    <w:rsid w:val="001A6D3E"/>
    <w:rsid w:val="003274B5"/>
    <w:rsid w:val="004210DF"/>
    <w:rsid w:val="004A48E8"/>
    <w:rsid w:val="005770B8"/>
    <w:rsid w:val="00700198"/>
    <w:rsid w:val="00723BFA"/>
    <w:rsid w:val="00A4319D"/>
    <w:rsid w:val="00B2395E"/>
    <w:rsid w:val="00B34A4B"/>
    <w:rsid w:val="00CC5B13"/>
    <w:rsid w:val="00D77B10"/>
    <w:rsid w:val="00EF44D1"/>
    <w:rsid w:val="00F0147C"/>
    <w:rsid w:val="00F3646B"/>
    <w:rsid w:val="00FD4CB2"/>
    <w:rsid w:val="00FE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5494-729B-4FED-9752-2077D367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CB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D4CB2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D4CB2"/>
    <w:rPr>
      <w:rFonts w:ascii="Arial" w:eastAsiaTheme="majorEastAsia" w:hAnsi="Arial" w:cstheme="majorBidi"/>
      <w:b/>
      <w:caps/>
      <w:sz w:val="20"/>
    </w:rPr>
  </w:style>
  <w:style w:type="paragraph" w:styleId="Paragraphedeliste">
    <w:name w:val="List Paragraph"/>
    <w:basedOn w:val="Normal"/>
    <w:uiPriority w:val="34"/>
    <w:qFormat/>
    <w:rsid w:val="00FD4CB2"/>
    <w:pPr>
      <w:ind w:left="720"/>
    </w:pPr>
  </w:style>
  <w:style w:type="paragraph" w:customStyle="1" w:styleId="Texte1">
    <w:name w:val="Texte1"/>
    <w:basedOn w:val="Normal"/>
    <w:link w:val="Texte1Car"/>
    <w:rsid w:val="00FD4CB2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FD4CB2"/>
    <w:rPr>
      <w:rFonts w:ascii="Arial" w:eastAsia="SimSun" w:hAnsi="Arial" w:cs="Arial"/>
      <w:sz w:val="20"/>
      <w:szCs w:val="24"/>
      <w:lang w:eastAsia="zh-CN"/>
    </w:rPr>
  </w:style>
  <w:style w:type="paragraph" w:customStyle="1" w:styleId="Tabtxt">
    <w:name w:val="Tabtxt"/>
    <w:basedOn w:val="Normal"/>
    <w:rsid w:val="00FD4CB2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1138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2019-05-04T17:17:00Z</dcterms:created>
  <dcterms:modified xsi:type="dcterms:W3CDTF">2019-05-12T13:40:00Z</dcterms:modified>
</cp:coreProperties>
</file>