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B3" w:rsidRDefault="007074B3" w:rsidP="007074B3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bookmarkStart w:id="0" w:name="_GoBack"/>
      <w:bookmarkEnd w:id="0"/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 D’INVENTAIRE DU PCI</w:t>
      </w:r>
    </w:p>
    <w:p w:rsidR="007074B3" w:rsidRDefault="007074B3" w:rsidP="007074B3">
      <w:pPr>
        <w:rPr>
          <w:lang w:val="fr-FR"/>
        </w:rPr>
      </w:pPr>
    </w:p>
    <w:p w:rsidR="007074B3" w:rsidRDefault="007074B3" w:rsidP="007074B3">
      <w:pPr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>
        <w:rPr>
          <w:b/>
          <w:lang w:val="fr-FR"/>
        </w:rPr>
        <w:t>MATAM</w:t>
      </w:r>
    </w:p>
    <w:p w:rsidR="007074B3" w:rsidRDefault="007074B3" w:rsidP="007074B3">
      <w:pPr>
        <w:rPr>
          <w:b/>
          <w:lang w:val="fr-FR"/>
        </w:rPr>
      </w:pPr>
    </w:p>
    <w:p w:rsidR="007074B3" w:rsidRPr="00F355F4" w:rsidRDefault="007074B3" w:rsidP="007074B3">
      <w:pPr>
        <w:rPr>
          <w:b/>
          <w:lang w:val="fr-FR"/>
        </w:rPr>
      </w:pPr>
      <w:r>
        <w:rPr>
          <w:b/>
          <w:lang w:val="fr-FR"/>
        </w:rPr>
        <w:t xml:space="preserve">DEPARTEMENT : </w:t>
      </w:r>
      <w:r w:rsidR="002D26B7">
        <w:rPr>
          <w:b/>
          <w:lang w:val="fr-FR"/>
        </w:rPr>
        <w:t>MATAM</w:t>
      </w:r>
    </w:p>
    <w:p w:rsidR="007074B3" w:rsidRDefault="007074B3" w:rsidP="007074B3">
      <w:pPr>
        <w:pStyle w:val="Titre4"/>
      </w:pPr>
      <w:r>
        <w:t>Numero de la fiche : SNMT9RANPCI    4</w:t>
      </w: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7074B3" w:rsidRPr="00A06BCB" w:rsidTr="000D5B54">
        <w:tc>
          <w:tcPr>
            <w:tcW w:w="567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7074B3" w:rsidRPr="007254B2" w:rsidRDefault="007074B3" w:rsidP="000D5B54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  <w:p w:rsidR="007074B3" w:rsidRPr="002D26B7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proofErr w:type="spellStart"/>
            <w:r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yéla</w:t>
            </w:r>
            <w:proofErr w:type="spellEnd"/>
          </w:p>
          <w:p w:rsidR="007074B3" w:rsidRPr="00C92ED6" w:rsidRDefault="007074B3" w:rsidP="000D5B54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</w:p>
          <w:p w:rsidR="007074B3" w:rsidRPr="002D26B7" w:rsidRDefault="002D26B7" w:rsidP="000D5B54">
            <w:pPr>
              <w:spacing w:before="80" w:after="480" w:line="200" w:lineRule="exact"/>
              <w:ind w:left="113"/>
              <w:jc w:val="left"/>
              <w:rPr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2D26B7">
              <w:rPr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  <w:t>Arts du sp</w:t>
            </w:r>
            <w:r w:rsidR="00DA7F83" w:rsidRPr="002D26B7">
              <w:rPr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  <w:t xml:space="preserve">ectacle </w:t>
            </w:r>
            <w:r w:rsidR="007074B3" w:rsidRPr="002D26B7">
              <w:rPr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  <w:t xml:space="preserve"> – Yela – vœux exhaussés </w:t>
            </w:r>
          </w:p>
        </w:tc>
      </w:tr>
      <w:tr w:rsidR="007074B3" w:rsidRPr="00C92ED6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en-GB" w:eastAsia="fr-FR"/>
              </w:rPr>
            </w:pPr>
            <w:proofErr w:type="spellStart"/>
            <w:r w:rsidRPr="00C92ED6">
              <w:rPr>
                <w:snapToGrid/>
                <w:sz w:val="18"/>
                <w:szCs w:val="18"/>
                <w:lang w:val="en-GB" w:eastAsia="fr-FR"/>
              </w:rPr>
              <w:t>Communauté</w:t>
            </w:r>
            <w:proofErr w:type="spellEnd"/>
            <w:r w:rsidRPr="00C92ED6">
              <w:rPr>
                <w:snapToGrid/>
                <w:sz w:val="18"/>
                <w:szCs w:val="18"/>
                <w:lang w:val="en-GB" w:eastAsia="fr-FR"/>
              </w:rPr>
              <w:t xml:space="preserve">(s) </w:t>
            </w:r>
            <w:proofErr w:type="spellStart"/>
            <w:r w:rsidRPr="00C92ED6">
              <w:rPr>
                <w:snapToGrid/>
                <w:sz w:val="18"/>
                <w:szCs w:val="18"/>
                <w:lang w:val="en-GB" w:eastAsia="fr-FR"/>
              </w:rPr>
              <w:t>concernée</w:t>
            </w:r>
            <w:proofErr w:type="spellEnd"/>
            <w:r w:rsidRPr="00C92ED6">
              <w:rPr>
                <w:snapToGrid/>
                <w:sz w:val="18"/>
                <w:szCs w:val="18"/>
                <w:lang w:val="en-GB" w:eastAsia="fr-FR"/>
              </w:rPr>
              <w:t>(s)</w:t>
            </w:r>
          </w:p>
          <w:p w:rsidR="007074B3" w:rsidRPr="002D26B7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en-GB" w:eastAsia="fr-FR"/>
              </w:rPr>
            </w:pPr>
            <w:proofErr w:type="spellStart"/>
            <w:r w:rsidRPr="002D26B7">
              <w:rPr>
                <w:snapToGrid/>
                <w:color w:val="1F497D" w:themeColor="text2"/>
                <w:sz w:val="18"/>
                <w:szCs w:val="18"/>
                <w:lang w:val="en-GB" w:eastAsia="fr-FR"/>
              </w:rPr>
              <w:t>Sebbé</w:t>
            </w:r>
            <w:proofErr w:type="spellEnd"/>
            <w:r w:rsidRPr="002D26B7">
              <w:rPr>
                <w:snapToGrid/>
                <w:color w:val="1F497D" w:themeColor="text2"/>
                <w:sz w:val="18"/>
                <w:szCs w:val="18"/>
                <w:lang w:val="en-GB" w:eastAsia="fr-FR"/>
              </w:rPr>
              <w:t xml:space="preserve"> – griots </w:t>
            </w:r>
          </w:p>
          <w:p w:rsidR="007074B3" w:rsidRPr="00C92ED6" w:rsidRDefault="007074B3" w:rsidP="000D5B54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</w:p>
          <w:p w:rsidR="002D7D78" w:rsidRPr="002D26B7" w:rsidRDefault="002D7D78" w:rsidP="000D5B54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proofErr w:type="spellStart"/>
            <w:r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Fouta</w:t>
            </w:r>
            <w:proofErr w:type="spellEnd"/>
          </w:p>
          <w:p w:rsidR="007074B3" w:rsidRPr="00C92ED6" w:rsidRDefault="007074B3" w:rsidP="000D5B54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2D7D78" w:rsidRPr="00C92ED6" w:rsidRDefault="007074B3" w:rsidP="002D26B7">
            <w:pPr>
              <w:spacing w:before="80" w:after="1920" w:line="200" w:lineRule="exact"/>
              <w:ind w:left="113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        </w:t>
            </w:r>
            <w:r w:rsidR="00E41980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 </w:t>
            </w:r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 </w:t>
            </w:r>
            <w:proofErr w:type="spellStart"/>
            <w:r w:rsidR="00E41980" w:rsidRPr="002D26B7">
              <w:rPr>
                <w:b/>
                <w:snapToGrid/>
                <w:color w:val="1F497D" w:themeColor="text2"/>
                <w:sz w:val="18"/>
                <w:szCs w:val="18"/>
                <w:lang w:val="fr-FR" w:eastAsia="fr-FR"/>
              </w:rPr>
              <w:t>Yella</w:t>
            </w:r>
            <w:proofErr w:type="spellEnd"/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littéralement vœux  exhaussés en langue </w:t>
            </w:r>
            <w:proofErr w:type="spellStart"/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pulaar</w:t>
            </w:r>
            <w:proofErr w:type="spellEnd"/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est une des </w:t>
            </w:r>
            <w:r w:rsidR="002D7D78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Musique</w:t>
            </w:r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du terroir, </w:t>
            </w:r>
            <w:r w:rsidR="002D7D78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jadis </w:t>
            </w:r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elle était chantée </w:t>
            </w:r>
            <w:r w:rsidR="002D7D78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par les </w:t>
            </w:r>
            <w:proofErr w:type="spellStart"/>
            <w:r w:rsidR="002D7D78" w:rsidRPr="002D26B7">
              <w:rPr>
                <w:b/>
                <w:snapToGrid/>
                <w:color w:val="1F497D" w:themeColor="text2"/>
                <w:sz w:val="18"/>
                <w:szCs w:val="18"/>
                <w:lang w:val="fr-FR" w:eastAsia="fr-FR"/>
              </w:rPr>
              <w:t>sébbés</w:t>
            </w:r>
            <w:proofErr w:type="spellEnd"/>
            <w:r w:rsidR="002D7D78" w:rsidRPr="002D26B7">
              <w:rPr>
                <w:b/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r w:rsidR="002D7D78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po</w:t>
            </w:r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ur les nobles et les guerriers,</w:t>
            </w:r>
            <w:r w:rsidR="002D7D78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pour faire vibrer les héros, ragaillardir les initiés avant la case de l’homme ainsi que les filles lors </w:t>
            </w:r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des mariages</w:t>
            </w:r>
            <w:r w:rsidR="002D7D78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et des </w:t>
            </w:r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baptêmes. Le </w:t>
            </w:r>
            <w:proofErr w:type="spellStart"/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yella</w:t>
            </w:r>
            <w:proofErr w:type="spellEnd"/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est une musique langoureuse et agréable qui retrace les faits d’armes et les épopées de</w:t>
            </w:r>
            <w:r w:rsid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</w:t>
            </w:r>
            <w:r w:rsidR="00E41980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guerriers, </w:t>
            </w:r>
            <w:r w:rsidR="000378F9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notables </w:t>
            </w:r>
            <w:r w:rsid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et </w:t>
            </w:r>
            <w:r w:rsidR="000378F9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érudits</w:t>
            </w:r>
            <w:r w:rsidR="00DA7F83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. Le </w:t>
            </w:r>
            <w:proofErr w:type="spellStart"/>
            <w:r w:rsidR="00DA7F83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yella</w:t>
            </w:r>
            <w:proofErr w:type="spellEnd"/>
            <w:r w:rsidR="00DA7F83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peut dans certain cas servir de régulateur social en rapprochant les parties en conflit en chantant les louange</w:t>
            </w:r>
            <w:r w:rsid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</w:t>
            </w:r>
            <w:r w:rsidR="00DA7F83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, en convoquant l’arbre généalogique et </w:t>
            </w:r>
            <w:r w:rsid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en </w:t>
            </w:r>
            <w:r w:rsidR="00DA7F83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rappelant les </w:t>
            </w:r>
            <w:r w:rsidR="00DA7F83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lastRenderedPageBreak/>
              <w:t>liens</w:t>
            </w:r>
            <w:r w:rsidR="00DA7F83">
              <w:rPr>
                <w:snapToGrid/>
                <w:color w:val="0070C0"/>
                <w:sz w:val="18"/>
                <w:szCs w:val="18"/>
                <w:lang w:val="fr-FR" w:eastAsia="fr-FR"/>
              </w:rPr>
              <w:t xml:space="preserve"> </w:t>
            </w:r>
            <w:r w:rsidR="00DA7F83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de sang</w:t>
            </w:r>
            <w:r w:rsid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d’individus, de familles ou de communautés en conflit</w:t>
            </w:r>
            <w:r w:rsidR="00DA7F83">
              <w:rPr>
                <w:snapToGrid/>
                <w:color w:val="0070C0"/>
                <w:sz w:val="18"/>
                <w:szCs w:val="18"/>
                <w:lang w:val="fr-FR" w:eastAsia="fr-FR"/>
              </w:rPr>
              <w:t xml:space="preserve">. </w:t>
            </w:r>
            <w:r w:rsidR="000378F9">
              <w:rPr>
                <w:snapToGrid/>
                <w:color w:val="0070C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lastRenderedPageBreak/>
              <w:t>2.</w:t>
            </w:r>
          </w:p>
        </w:tc>
        <w:tc>
          <w:tcPr>
            <w:tcW w:w="8283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2D7D78" w:rsidRPr="002D26B7" w:rsidRDefault="002D7D78" w:rsidP="000D5B54">
            <w:pPr>
              <w:spacing w:before="80" w:after="960" w:line="200" w:lineRule="exact"/>
              <w:ind w:left="113" w:righ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proofErr w:type="spellStart"/>
            <w:r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Bocar</w:t>
            </w:r>
            <w:proofErr w:type="spellEnd"/>
            <w:r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sock</w:t>
            </w:r>
            <w:proofErr w:type="spellEnd"/>
            <w:r w:rsid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</w:p>
          <w:p w:rsidR="002D26B7" w:rsidRDefault="002D7D78" w:rsidP="000D5B54">
            <w:pPr>
              <w:spacing w:before="80" w:after="960" w:line="200" w:lineRule="exact"/>
              <w:ind w:left="113" w:righ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proofErr w:type="spellStart"/>
            <w:r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Kanto</w:t>
            </w:r>
            <w:proofErr w:type="spellEnd"/>
            <w:r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sock</w:t>
            </w:r>
            <w:proofErr w:type="spellEnd"/>
            <w:r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</w:p>
          <w:p w:rsidR="002D7D78" w:rsidRPr="002D26B7" w:rsidRDefault="002D26B7" w:rsidP="000D5B54">
            <w:pPr>
              <w:spacing w:before="80" w:after="960" w:line="200" w:lineRule="exact"/>
              <w:ind w:left="113" w:righ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Il n’y a </w:t>
            </w:r>
            <w:r w:rsidR="002D7D78" w:rsidRPr="002D26B7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pas de limites d’âge pour pratiquer </w:t>
            </w:r>
            <w:r w:rsid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l’élément.</w:t>
            </w:r>
          </w:p>
          <w:p w:rsidR="007074B3" w:rsidRDefault="007074B3" w:rsidP="000D5B54">
            <w:pPr>
              <w:spacing w:before="80" w:after="96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7074B3" w:rsidRPr="00C92ED6" w:rsidRDefault="007074B3" w:rsidP="000D5B54">
            <w:pPr>
              <w:spacing w:before="80" w:after="96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2.2.</w:t>
            </w:r>
          </w:p>
        </w:tc>
        <w:tc>
          <w:tcPr>
            <w:tcW w:w="8283" w:type="dxa"/>
            <w:shd w:val="clear" w:color="auto" w:fill="auto"/>
          </w:tcPr>
          <w:p w:rsidR="007074B3" w:rsidRPr="009F5718" w:rsidRDefault="007074B3" w:rsidP="007812AF">
            <w:pPr>
              <w:spacing w:before="80" w:after="96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  <w:r w:rsidR="002D7D78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                                                  </w:t>
            </w:r>
            <w:r w:rsidR="000378F9">
              <w:rPr>
                <w:snapToGrid/>
                <w:sz w:val="18"/>
                <w:szCs w:val="18"/>
                <w:lang w:val="fr-FR" w:eastAsia="fr-FR"/>
              </w:rPr>
              <w:t xml:space="preserve">                                  </w:t>
            </w:r>
            <w:r w:rsidR="002D7D78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Les instrumentistes calebasse </w:t>
            </w:r>
            <w:proofErr w:type="spellStart"/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bolong</w:t>
            </w:r>
            <w:proofErr w:type="spellEnd"/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hoddu</w:t>
            </w:r>
            <w:proofErr w:type="spellEnd"/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xalam</w:t>
            </w:r>
            <w:proofErr w:type="spellEnd"/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:rsidR="002D7D78" w:rsidRPr="00F13EB2" w:rsidRDefault="002D7D78" w:rsidP="000D5B54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proofErr w:type="spellStart"/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Pulaar</w:t>
            </w:r>
            <w:proofErr w:type="spellEnd"/>
          </w:p>
          <w:p w:rsidR="007074B3" w:rsidRPr="00C92ED6" w:rsidRDefault="007074B3" w:rsidP="000D5B54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2.4.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2D7D78" w:rsidRPr="00F13EB2" w:rsidRDefault="000378F9" w:rsidP="000D5B54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Calebasse,</w:t>
            </w:r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bolong</w:t>
            </w:r>
            <w:proofErr w:type="spellEnd"/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, </w:t>
            </w:r>
            <w:proofErr w:type="spellStart"/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hoddu</w:t>
            </w:r>
            <w:proofErr w:type="spellEnd"/>
            <w:r w:rsid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sont associés à la pratique de l’élément</w:t>
            </w:r>
          </w:p>
          <w:p w:rsidR="007074B3" w:rsidRPr="00C92ED6" w:rsidRDefault="007074B3" w:rsidP="007074B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2D7D78" w:rsidRPr="00F13EB2" w:rsidRDefault="00F13EB2" w:rsidP="000D5B54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La </w:t>
            </w:r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Danse (</w:t>
            </w:r>
            <w:proofErr w:type="spellStart"/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yela</w:t>
            </w:r>
            <w:proofErr w:type="spellEnd"/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)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est associée à l’élément  </w:t>
            </w:r>
          </w:p>
          <w:p w:rsidR="007074B3" w:rsidRPr="00C92ED6" w:rsidRDefault="007074B3" w:rsidP="000D5B54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2D7D78" w:rsidRPr="00F13EB2" w:rsidRDefault="00F13EB2" w:rsidP="000D5B54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  </w:t>
            </w:r>
            <w:proofErr w:type="spellStart"/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yeela</w:t>
            </w:r>
            <w:proofErr w:type="spellEnd"/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est chanté pendant les </w:t>
            </w:r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Mariage, 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les </w:t>
            </w:r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baptêmes, 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les </w:t>
            </w:r>
            <w:r w:rsidR="002D7D78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circoncision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s </w:t>
            </w:r>
            <w:r w:rsidR="007812A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et autre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</w:t>
            </w:r>
            <w:r w:rsidR="007812A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cérémonie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</w:t>
            </w:r>
            <w:r w:rsidR="007812A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famili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ales et même pendant les deuils.</w:t>
            </w:r>
          </w:p>
          <w:p w:rsidR="007074B3" w:rsidRPr="00C92ED6" w:rsidRDefault="007074B3" w:rsidP="000D5B54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  <w:p w:rsidR="002D7D78" w:rsidRPr="00F13EB2" w:rsidRDefault="00F13EB2" w:rsidP="000D5B54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La transmission se fait par l‘</w:t>
            </w: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initiation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au claire de lune entre père et fils ou entre mère et enfant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 : L’enfant assistes et suit ses parents lors des prestations…</w:t>
            </w:r>
          </w:p>
          <w:p w:rsidR="007074B3" w:rsidRPr="00C92ED6" w:rsidRDefault="007074B3" w:rsidP="000D5B54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:rsidR="000378F9" w:rsidRPr="000378F9" w:rsidRDefault="00F13EB2" w:rsidP="000D5B54">
            <w:pPr>
              <w:spacing w:before="80" w:after="960" w:line="200" w:lineRule="exact"/>
              <w:ind w:left="113"/>
              <w:jc w:val="left"/>
              <w:rPr>
                <w:snapToGrid/>
                <w:color w:val="0070C0"/>
                <w:sz w:val="18"/>
                <w:szCs w:val="18"/>
                <w:lang w:val="fr-FR" w:eastAsia="fr-FR"/>
              </w:rPr>
            </w:pPr>
            <w:proofErr w:type="gramStart"/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L’ association</w:t>
            </w:r>
            <w:proofErr w:type="gramEnd"/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7812A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Alamari</w:t>
            </w:r>
            <w:proofErr w:type="spellEnd"/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de Matam</w:t>
            </w:r>
          </w:p>
          <w:p w:rsidR="007074B3" w:rsidRPr="00C92ED6" w:rsidRDefault="007074B3" w:rsidP="003A151A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3A151A" w:rsidRDefault="007074B3" w:rsidP="003A151A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3A151A" w:rsidRPr="00F13EB2" w:rsidRDefault="000378F9" w:rsidP="003A151A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La plus grande menace connue à ce jour 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est la 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Modernité et </w:t>
            </w: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l’abandon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des traditions par la nouvelle génération</w:t>
            </w: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…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</w:p>
          <w:p w:rsidR="007074B3" w:rsidRDefault="007074B3" w:rsidP="000D5B54">
            <w:pPr>
              <w:spacing w:before="80" w:after="96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3A151A" w:rsidRDefault="003A151A" w:rsidP="000D5B54">
            <w:pPr>
              <w:spacing w:before="80" w:after="96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3A151A" w:rsidRDefault="003A151A" w:rsidP="000D5B54">
            <w:pPr>
              <w:spacing w:before="80" w:after="96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7074B3" w:rsidRPr="00C92ED6" w:rsidRDefault="007074B3" w:rsidP="000D5B54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  <w:p w:rsidR="000378F9" w:rsidRPr="00F13EB2" w:rsidRDefault="000378F9" w:rsidP="000D5B54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Les menace sont de différents ordres nous pouvons citer entre autres :</w:t>
            </w:r>
          </w:p>
          <w:p w:rsidR="000378F9" w:rsidRPr="00F13EB2" w:rsidRDefault="000378F9" w:rsidP="000378F9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lastRenderedPageBreak/>
              <w:t xml:space="preserve">La  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Musique moderne </w:t>
            </w:r>
          </w:p>
          <w:p w:rsidR="000378F9" w:rsidRPr="00F13EB2" w:rsidRDefault="000378F9" w:rsidP="000378F9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L’immigration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</w:p>
          <w:p w:rsidR="000378F9" w:rsidRPr="00F13EB2" w:rsidRDefault="000378F9" w:rsidP="000378F9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La disparition et la raréfaction de certains instruments traditionnels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…</w:t>
            </w:r>
          </w:p>
          <w:p w:rsidR="003A151A" w:rsidRPr="00F13EB2" w:rsidRDefault="000378F9" w:rsidP="000378F9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 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réchauffement climatique raréfaction des calebasses et autres </w:t>
            </w:r>
            <w:proofErr w:type="spellStart"/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bolong</w:t>
            </w:r>
            <w:proofErr w:type="spellEnd"/>
          </w:p>
          <w:p w:rsidR="007812AF" w:rsidRPr="00F13EB2" w:rsidRDefault="007812AF" w:rsidP="00F13EB2">
            <w:pPr>
              <w:spacing w:before="80" w:after="960" w:line="200" w:lineRule="exact"/>
              <w:jc w:val="left"/>
              <w:rPr>
                <w:snapToGrid/>
                <w:color w:val="0070C0"/>
                <w:sz w:val="18"/>
                <w:szCs w:val="18"/>
                <w:lang w:val="fr-FR" w:eastAsia="fr-FR"/>
              </w:rPr>
            </w:pPr>
          </w:p>
          <w:p w:rsidR="007074B3" w:rsidRPr="00C92ED6" w:rsidRDefault="007074B3" w:rsidP="000D5B54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3.3.</w:t>
            </w:r>
          </w:p>
        </w:tc>
        <w:tc>
          <w:tcPr>
            <w:tcW w:w="8283" w:type="dxa"/>
            <w:shd w:val="clear" w:color="auto" w:fill="auto"/>
          </w:tcPr>
          <w:p w:rsidR="003A151A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Menaces pesant sur un accès durable aux éléments matériels et aux ressources (le cas échéant) </w:t>
            </w:r>
          </w:p>
          <w:p w:rsidR="007074B3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associés à l’élément du PCI</w:t>
            </w:r>
          </w:p>
          <w:p w:rsidR="003A151A" w:rsidRPr="00F13EB2" w:rsidRDefault="000378F9" w:rsidP="000D5B54">
            <w:pPr>
              <w:spacing w:before="80" w:after="96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L’accès au</w:t>
            </w:r>
            <w:r w:rsidR="00F13EB2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x</w:t>
            </w: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ressource</w:t>
            </w:r>
            <w:r w:rsidR="00F13EB2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</w:t>
            </w: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est menacé par le 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Réchauffement climatique</w:t>
            </w: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, la  déforestation et 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r w:rsidR="00D24E1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 manque de </w:t>
            </w:r>
            <w:proofErr w:type="spellStart"/>
            <w:r w:rsidR="00D24E1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savoir faire</w:t>
            </w:r>
            <w:proofErr w:type="spellEnd"/>
            <w:r w:rsidR="00D24E1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lies à la fabrication </w:t>
            </w:r>
            <w:r w:rsidR="00F13EB2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des instruments traditionnels</w:t>
            </w:r>
            <w:r w:rsidR="00D24E1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comme le </w:t>
            </w:r>
            <w:proofErr w:type="spellStart"/>
            <w:r w:rsidR="00D24E1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hoddu</w:t>
            </w:r>
            <w:proofErr w:type="spellEnd"/>
            <w:r w:rsidR="00D24E1F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… </w:t>
            </w:r>
          </w:p>
          <w:p w:rsidR="007074B3" w:rsidRPr="00C92ED6" w:rsidRDefault="007074B3" w:rsidP="000D5B54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F13EB2" w:rsidRDefault="00F13EB2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7074B3" w:rsidRPr="00C92ED6" w:rsidRDefault="007074B3" w:rsidP="000B6929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Mesures de sauvegarde ou autres (le cas échéant) adoptées pour faire face à ces menaces et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lastRenderedPageBreak/>
              <w:t>encourager la pratique et la transmission de l’élément du PCI à l’avenir</w:t>
            </w:r>
          </w:p>
          <w:p w:rsidR="00D24E1F" w:rsidRPr="00F13EB2" w:rsidRDefault="00D24E1F" w:rsidP="000D5B54">
            <w:pPr>
              <w:spacing w:before="80" w:after="960" w:line="200" w:lineRule="exact"/>
              <w:ind w:left="113" w:right="57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Les mesures de sauvegarde à envisager sont :</w:t>
            </w:r>
          </w:p>
          <w:p w:rsidR="003A151A" w:rsidRPr="00F13EB2" w:rsidRDefault="00D24E1F" w:rsidP="00D24E1F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ind w:right="57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La f</w:t>
            </w:r>
            <w:r w:rsidR="003A151A"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ormation et </w:t>
            </w: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la transmission</w:t>
            </w:r>
          </w:p>
          <w:p w:rsidR="00D24E1F" w:rsidRPr="00F13EB2" w:rsidRDefault="00D24E1F" w:rsidP="00D24E1F">
            <w:pPr>
              <w:pStyle w:val="Paragraphedeliste"/>
              <w:numPr>
                <w:ilvl w:val="0"/>
                <w:numId w:val="1"/>
              </w:numPr>
              <w:spacing w:before="80" w:after="960" w:line="200" w:lineRule="exact"/>
              <w:ind w:right="57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F13EB2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La codification de la musique et son enseignement dans les écoles </w:t>
            </w:r>
          </w:p>
          <w:p w:rsidR="00D24E1F" w:rsidRPr="00D24E1F" w:rsidRDefault="00D24E1F" w:rsidP="00F13EB2">
            <w:pPr>
              <w:pStyle w:val="Paragraphedeliste"/>
              <w:spacing w:before="80" w:after="960" w:line="200" w:lineRule="exact"/>
              <w:ind w:left="473" w:right="57"/>
              <w:jc w:val="left"/>
              <w:rPr>
                <w:snapToGrid/>
                <w:color w:val="0070C0"/>
                <w:sz w:val="18"/>
                <w:szCs w:val="18"/>
                <w:lang w:val="fr-FR" w:eastAsia="fr-FR"/>
              </w:rPr>
            </w:pPr>
          </w:p>
          <w:p w:rsidR="00D24E1F" w:rsidRPr="003A151A" w:rsidRDefault="00D24E1F" w:rsidP="000D5B54">
            <w:pPr>
              <w:spacing w:before="80" w:after="960" w:line="200" w:lineRule="exact"/>
              <w:ind w:left="113" w:right="57"/>
              <w:jc w:val="left"/>
              <w:rPr>
                <w:snapToGrid/>
                <w:color w:val="0070C0"/>
                <w:sz w:val="18"/>
                <w:szCs w:val="18"/>
                <w:lang w:val="fr-FR" w:eastAsia="fr-FR"/>
              </w:rPr>
            </w:pPr>
          </w:p>
          <w:p w:rsidR="007074B3" w:rsidRPr="00C92ED6" w:rsidRDefault="007074B3" w:rsidP="000D5B54">
            <w:pPr>
              <w:spacing w:before="80" w:after="96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lastRenderedPageBreak/>
              <w:t>4.</w:t>
            </w:r>
          </w:p>
        </w:tc>
        <w:tc>
          <w:tcPr>
            <w:tcW w:w="8283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</w:p>
          <w:p w:rsidR="002A438C" w:rsidRPr="002A438C" w:rsidRDefault="002A438C" w:rsidP="002A438C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Le consentement de la communauté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à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été recueilli par enregistrement audio en présence des dépositaires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de l’élément qui on</w:t>
            </w: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t exprimé leur engagement par la voie de</w:t>
            </w:r>
            <w:r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Bocar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sock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Griot,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Kanton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sock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Griotte tel : 77 911 77 31</w:t>
            </w:r>
          </w:p>
          <w:p w:rsidR="007074B3" w:rsidRPr="002A438C" w:rsidRDefault="007074B3" w:rsidP="002A438C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  <w:p w:rsidR="007074B3" w:rsidRPr="002A438C" w:rsidRDefault="007074B3" w:rsidP="000D5B54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aucunes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color w:val="0070C0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</w:p>
          <w:p w:rsidR="003A151A" w:rsidRPr="002A438C" w:rsidRDefault="003A151A" w:rsidP="000D5B54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Bocar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sock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Griot,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Kanton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sock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Griotte tel : 77 911 77 31</w:t>
            </w:r>
          </w:p>
          <w:p w:rsidR="007074B3" w:rsidRPr="00C92ED6" w:rsidRDefault="007074B3" w:rsidP="000D5B54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7074B3" w:rsidRDefault="007074B3" w:rsidP="007074B3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  </w:t>
            </w:r>
          </w:p>
          <w:p w:rsidR="003A151A" w:rsidRPr="002A438C" w:rsidRDefault="003A151A" w:rsidP="007074B3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lastRenderedPageBreak/>
              <w:t>18 / 05 / 2019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lastRenderedPageBreak/>
              <w:t>5.</w:t>
            </w:r>
          </w:p>
        </w:tc>
        <w:tc>
          <w:tcPr>
            <w:tcW w:w="8283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7074B3" w:rsidRPr="00A16589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  <w:p w:rsidR="007074B3" w:rsidRPr="002A438C" w:rsidRDefault="007074B3" w:rsidP="007074B3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Archives nationales du </w:t>
            </w:r>
            <w:r w:rsidR="002A438C"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Sénégal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</w:p>
          <w:p w:rsidR="007074B3" w:rsidRPr="002A438C" w:rsidRDefault="007074B3" w:rsidP="000D5B54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Films </w:t>
            </w:r>
            <w:r w:rsidR="003A151A"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et enregistrements </w:t>
            </w: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privés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7074B3" w:rsidRDefault="007074B3" w:rsidP="000D5B54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074B3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960" w:line="200" w:lineRule="exact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7074B3">
              <w:rPr>
                <w:snapToGrid/>
                <w:sz w:val="18"/>
                <w:szCs w:val="18"/>
                <w:lang w:val="fr-FR" w:eastAsia="fr-FR"/>
              </w:rPr>
              <w:t xml:space="preserve"> Objets conservés dans des archives, musées et collections privées (le cas échéant)</w:t>
            </w:r>
          </w:p>
          <w:p w:rsidR="003A151A" w:rsidRPr="002A438C" w:rsidRDefault="002A438C" w:rsidP="000D5B54">
            <w:pPr>
              <w:spacing w:before="80" w:after="960" w:line="200" w:lineRule="exact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Des instruments de musique et des tenues de parades sont encore détenus par les griots dans les domiciles</w:t>
            </w:r>
          </w:p>
          <w:p w:rsidR="007074B3" w:rsidRPr="007074B3" w:rsidRDefault="007074B3" w:rsidP="000D5B54">
            <w:pPr>
              <w:spacing w:before="80" w:after="960" w:line="200" w:lineRule="exact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C92ED6" w:rsidTr="000D5B54">
        <w:tc>
          <w:tcPr>
            <w:tcW w:w="567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7074B3" w:rsidRPr="00C92ED6" w:rsidRDefault="007074B3" w:rsidP="000D5B54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Nom 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et contacts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la pe</w:t>
            </w:r>
            <w:r>
              <w:rPr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</w:p>
          <w:p w:rsidR="003A151A" w:rsidRPr="002A438C" w:rsidRDefault="003A151A" w:rsidP="003A151A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Bocar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sock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Griot,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Kanton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sock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Griotte tel : 77 911 77 31</w:t>
            </w:r>
          </w:p>
          <w:p w:rsidR="002A438C" w:rsidRPr="002A438C" w:rsidRDefault="002A438C" w:rsidP="002A438C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Monsieur Samba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mbodj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directeur du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cedeps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de Matam 77 5 41 86 14</w:t>
            </w:r>
          </w:p>
          <w:p w:rsidR="002A438C" w:rsidRPr="002A438C" w:rsidRDefault="002A438C" w:rsidP="002A438C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Monsieur alpha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ba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bureau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parteneuriat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IA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matam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77 542 03 20</w:t>
            </w:r>
          </w:p>
          <w:p w:rsidR="002A438C" w:rsidRPr="002A438C" w:rsidRDefault="002A438C" w:rsidP="002A438C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Monsieur Amadou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mamadou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diaw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agent du CCR de Matam 77 948 83 81</w:t>
            </w:r>
          </w:p>
          <w:p w:rsidR="002A438C" w:rsidRPr="002A438C" w:rsidRDefault="002A438C" w:rsidP="002A438C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lastRenderedPageBreak/>
              <w:t xml:space="preserve">Monsieur Cheikh </w:t>
            </w:r>
            <w:proofErr w:type="spellStart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ndiaye</w:t>
            </w:r>
            <w:proofErr w:type="spellEnd"/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 xml:space="preserve">  Directeur du Centre culturel régional de Matam 77 552 06 28</w:t>
            </w:r>
          </w:p>
          <w:p w:rsidR="002A438C" w:rsidRPr="002A438C" w:rsidRDefault="002A438C" w:rsidP="003A151A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</w:p>
          <w:p w:rsidR="003A151A" w:rsidRPr="002A438C" w:rsidRDefault="003A151A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3A151A" w:rsidRDefault="003A151A" w:rsidP="000D5B54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7074B3" w:rsidRPr="00C92ED6" w:rsidRDefault="007074B3" w:rsidP="000D5B54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6.2.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0D5B54">
            <w:pPr>
              <w:spacing w:before="80" w:after="48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7074B3" w:rsidRPr="002A438C" w:rsidRDefault="002A438C" w:rsidP="002A438C">
            <w:pPr>
              <w:spacing w:before="80" w:after="480" w:line="200" w:lineRule="exact"/>
              <w:ind w:left="113" w:right="57"/>
              <w:jc w:val="left"/>
              <w:rPr>
                <w:b/>
                <w:bCs/>
                <w:caps/>
                <w:color w:val="1F497D" w:themeColor="text2"/>
                <w:kern w:val="28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Les Enregistrements audio sont disponibles au centre culturel régional de Matam et sont transmises  à la Direction du patrimoine</w:t>
            </w:r>
          </w:p>
        </w:tc>
      </w:tr>
      <w:tr w:rsidR="007074B3" w:rsidRPr="00A06BCB" w:rsidTr="000D5B54">
        <w:tc>
          <w:tcPr>
            <w:tcW w:w="567" w:type="dxa"/>
            <w:shd w:val="clear" w:color="auto" w:fill="auto"/>
          </w:tcPr>
          <w:p w:rsidR="007074B3" w:rsidRPr="00C92ED6" w:rsidRDefault="007074B3" w:rsidP="000D5B54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7074B3" w:rsidRDefault="007074B3" w:rsidP="007074B3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  <w:r>
              <w:rPr>
                <w:snapToGrid/>
                <w:sz w:val="18"/>
                <w:szCs w:val="18"/>
                <w:lang w:val="fr-FR" w:eastAsia="fr-FR"/>
              </w:rPr>
              <w:t xml:space="preserve">        </w:t>
            </w:r>
          </w:p>
          <w:p w:rsidR="003A151A" w:rsidRPr="002A438C" w:rsidRDefault="003A151A" w:rsidP="007074B3">
            <w:pPr>
              <w:spacing w:before="80" w:after="480" w:line="200" w:lineRule="exact"/>
              <w:ind w:left="113"/>
              <w:jc w:val="left"/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</w:pPr>
            <w:r w:rsidRPr="002A438C">
              <w:rPr>
                <w:snapToGrid/>
                <w:color w:val="1F497D" w:themeColor="text2"/>
                <w:sz w:val="18"/>
                <w:szCs w:val="18"/>
                <w:lang w:val="fr-FR" w:eastAsia="fr-FR"/>
              </w:rPr>
              <w:t>21/05/2019</w:t>
            </w:r>
          </w:p>
        </w:tc>
      </w:tr>
    </w:tbl>
    <w:p w:rsidR="007074B3" w:rsidRPr="00A31579" w:rsidRDefault="007074B3" w:rsidP="007074B3">
      <w:pPr>
        <w:pStyle w:val="Texte1"/>
      </w:pPr>
    </w:p>
    <w:p w:rsidR="0032668B" w:rsidRDefault="00392181"/>
    <w:sectPr w:rsidR="0032668B" w:rsidSect="00863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81" w:rsidRDefault="00392181" w:rsidP="004F30A6">
      <w:pPr>
        <w:spacing w:before="0" w:after="0"/>
      </w:pPr>
      <w:r>
        <w:separator/>
      </w:r>
    </w:p>
  </w:endnote>
  <w:endnote w:type="continuationSeparator" w:id="0">
    <w:p w:rsidR="00392181" w:rsidRDefault="00392181" w:rsidP="004F30A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392181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3A151A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392181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81" w:rsidRDefault="00392181" w:rsidP="004F30A6">
      <w:pPr>
        <w:spacing w:before="0" w:after="0"/>
      </w:pPr>
      <w:r>
        <w:separator/>
      </w:r>
    </w:p>
  </w:footnote>
  <w:footnote w:type="continuationSeparator" w:id="0">
    <w:p w:rsidR="00392181" w:rsidRDefault="00392181" w:rsidP="004F30A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3A151A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054CA7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054CA7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="00054CA7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3A151A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054CA7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054CA7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0B3E1B">
      <w:rPr>
        <w:rFonts w:eastAsia="Calibri" w:cs="Times New Roman"/>
        <w:noProof/>
        <w:snapToGrid/>
        <w:sz w:val="16"/>
        <w:szCs w:val="22"/>
        <w:lang w:val="it-IT" w:eastAsia="en-US"/>
      </w:rPr>
      <w:t>8</w:t>
    </w:r>
    <w:r w:rsidR="00054CA7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3A151A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E185F"/>
    <w:multiLevelType w:val="hybridMultilevel"/>
    <w:tmpl w:val="CBEE27C4"/>
    <w:lvl w:ilvl="0" w:tplc="0054D868">
      <w:start w:val="2"/>
      <w:numFmt w:val="bullet"/>
      <w:lvlText w:val="-"/>
      <w:lvlJc w:val="left"/>
      <w:pPr>
        <w:ind w:left="473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B3"/>
    <w:rsid w:val="00015BAA"/>
    <w:rsid w:val="000378F9"/>
    <w:rsid w:val="00054CA7"/>
    <w:rsid w:val="000B3E1B"/>
    <w:rsid w:val="000B6929"/>
    <w:rsid w:val="00243666"/>
    <w:rsid w:val="002A438C"/>
    <w:rsid w:val="002D26B7"/>
    <w:rsid w:val="002D7D78"/>
    <w:rsid w:val="00392181"/>
    <w:rsid w:val="003A151A"/>
    <w:rsid w:val="00457BC2"/>
    <w:rsid w:val="004950FF"/>
    <w:rsid w:val="004F30A6"/>
    <w:rsid w:val="006D25FD"/>
    <w:rsid w:val="007074B3"/>
    <w:rsid w:val="007812AF"/>
    <w:rsid w:val="00AF7258"/>
    <w:rsid w:val="00D24E1F"/>
    <w:rsid w:val="00DA7F83"/>
    <w:rsid w:val="00E15FDA"/>
    <w:rsid w:val="00E41980"/>
    <w:rsid w:val="00EE6E97"/>
    <w:rsid w:val="00F13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8AD50-2AC2-48FC-8D5B-A9F184577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B3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7074B3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074B3"/>
    <w:rPr>
      <w:rFonts w:ascii="Arial" w:eastAsiaTheme="majorEastAsia" w:hAnsi="Arial" w:cstheme="majorBidi"/>
      <w:b/>
      <w:caps/>
      <w:sz w:val="20"/>
    </w:rPr>
  </w:style>
  <w:style w:type="paragraph" w:customStyle="1" w:styleId="Texte1">
    <w:name w:val="Texte1"/>
    <w:basedOn w:val="Normal"/>
    <w:link w:val="Texte1Car"/>
    <w:rsid w:val="007074B3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7074B3"/>
    <w:rPr>
      <w:rFonts w:ascii="Arial" w:eastAsia="SimSun" w:hAnsi="Arial" w:cs="Arial"/>
      <w:sz w:val="20"/>
      <w:szCs w:val="24"/>
      <w:lang w:eastAsia="zh-CN"/>
    </w:rPr>
  </w:style>
  <w:style w:type="paragraph" w:customStyle="1" w:styleId="Tabtxt">
    <w:name w:val="Tabtxt"/>
    <w:basedOn w:val="Normal"/>
    <w:rsid w:val="007074B3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styleId="Paragraphedeliste">
    <w:name w:val="List Paragraph"/>
    <w:basedOn w:val="Normal"/>
    <w:uiPriority w:val="34"/>
    <w:qFormat/>
    <w:rsid w:val="00037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991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2019-05-24T15:44:00Z</dcterms:created>
  <dcterms:modified xsi:type="dcterms:W3CDTF">2019-05-24T15:44:00Z</dcterms:modified>
</cp:coreProperties>
</file>